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922" w:rsidRPr="00E47204" w:rsidRDefault="00096922" w:rsidP="00096922">
      <w:pPr>
        <w:spacing w:line="360" w:lineRule="auto"/>
        <w:rPr>
          <w:rFonts w:ascii="Verdana" w:hAnsi="Verdana" w:cs="Verdana"/>
          <w:b/>
          <w:bCs/>
          <w:sz w:val="24"/>
          <w:szCs w:val="24"/>
          <w:u w:val="single"/>
        </w:rPr>
      </w:pPr>
      <w:r w:rsidRPr="00E47204">
        <w:rPr>
          <w:rFonts w:ascii="Verdana" w:hAnsi="Verdana" w:cs="Verdana"/>
          <w:b/>
          <w:bCs/>
          <w:sz w:val="24"/>
          <w:szCs w:val="24"/>
          <w:u w:val="single"/>
        </w:rPr>
        <w:t>International Diploma in Mental Health, Human Rights and Law</w:t>
      </w:r>
    </w:p>
    <w:p w:rsidR="00096922" w:rsidRPr="00E47204" w:rsidRDefault="00096922" w:rsidP="00096922">
      <w:pPr>
        <w:spacing w:line="360" w:lineRule="auto"/>
        <w:rPr>
          <w:rFonts w:ascii="Verdana" w:hAnsi="Verdana" w:cs="Verdana"/>
          <w:b/>
          <w:bCs/>
          <w:sz w:val="24"/>
          <w:szCs w:val="24"/>
          <w:u w:val="single"/>
        </w:rPr>
      </w:pPr>
      <w:r w:rsidRPr="00E47204">
        <w:rPr>
          <w:rFonts w:ascii="Verdana" w:hAnsi="Verdana" w:cs="Verdana"/>
          <w:b/>
          <w:bCs/>
          <w:sz w:val="24"/>
          <w:szCs w:val="24"/>
          <w:u w:val="single"/>
        </w:rPr>
        <w:t>2014-2015</w:t>
      </w:r>
    </w:p>
    <w:p w:rsidR="00096922" w:rsidRPr="00E47204" w:rsidRDefault="00096922" w:rsidP="00096922">
      <w:pPr>
        <w:spacing w:line="360" w:lineRule="auto"/>
        <w:rPr>
          <w:rFonts w:ascii="Verdana" w:hAnsi="Verdana" w:cs="Verdana"/>
          <w:b/>
          <w:bCs/>
          <w:sz w:val="24"/>
          <w:szCs w:val="24"/>
          <w:u w:val="single"/>
        </w:rPr>
      </w:pPr>
    </w:p>
    <w:p w:rsidR="00096922" w:rsidRPr="00E47204" w:rsidRDefault="00096922" w:rsidP="00096922">
      <w:pPr>
        <w:rPr>
          <w:rFonts w:ascii="Verdana" w:hAnsi="Verdana" w:cs="Verdana"/>
          <w:b/>
          <w:bCs/>
          <w:sz w:val="24"/>
          <w:szCs w:val="24"/>
        </w:rPr>
      </w:pPr>
      <w:r w:rsidRPr="00E47204">
        <w:rPr>
          <w:rFonts w:ascii="Verdana" w:hAnsi="Verdana" w:cs="Verdana"/>
          <w:b/>
          <w:bCs/>
          <w:sz w:val="24"/>
          <w:szCs w:val="24"/>
        </w:rPr>
        <w:t>Dr</w:t>
      </w:r>
      <w:r>
        <w:rPr>
          <w:rFonts w:ascii="Verdana" w:hAnsi="Verdana" w:cs="Verdana"/>
          <w:b/>
          <w:bCs/>
          <w:sz w:val="24"/>
          <w:szCs w:val="24"/>
        </w:rPr>
        <w:t>.</w:t>
      </w:r>
      <w:r w:rsidRPr="00E47204">
        <w:rPr>
          <w:rFonts w:ascii="Verdana" w:hAnsi="Verdana" w:cs="Verdana"/>
          <w:b/>
          <w:bCs/>
          <w:sz w:val="24"/>
          <w:szCs w:val="24"/>
        </w:rPr>
        <w:t xml:space="preserve"> June Price-Humphrey</w:t>
      </w:r>
    </w:p>
    <w:p w:rsidR="00096922" w:rsidRPr="00E47204" w:rsidRDefault="00096922" w:rsidP="00096922">
      <w:pPr>
        <w:spacing w:line="360" w:lineRule="auto"/>
        <w:rPr>
          <w:rFonts w:ascii="Verdana" w:hAnsi="Verdana" w:cs="Verdana"/>
          <w:b/>
          <w:bCs/>
          <w:sz w:val="24"/>
          <w:szCs w:val="24"/>
        </w:rPr>
      </w:pPr>
      <w:r>
        <w:rPr>
          <w:rFonts w:ascii="Verdana" w:hAnsi="Verdana" w:cs="Verdana"/>
          <w:b/>
          <w:bCs/>
          <w:sz w:val="24"/>
          <w:szCs w:val="24"/>
        </w:rPr>
        <w:t>July</w:t>
      </w:r>
      <w:r w:rsidRPr="00E47204">
        <w:rPr>
          <w:rFonts w:ascii="Verdana" w:hAnsi="Verdana" w:cs="Verdana"/>
          <w:b/>
          <w:bCs/>
          <w:sz w:val="24"/>
          <w:szCs w:val="24"/>
        </w:rPr>
        <w:t xml:space="preserve"> 2015</w:t>
      </w:r>
    </w:p>
    <w:p w:rsidR="00096922" w:rsidRPr="00E47204" w:rsidRDefault="00096922" w:rsidP="00096922">
      <w:pPr>
        <w:spacing w:line="360" w:lineRule="auto"/>
        <w:rPr>
          <w:rFonts w:ascii="Verdana" w:hAnsi="Verdana" w:cs="Verdana"/>
          <w:b/>
          <w:bCs/>
          <w:sz w:val="24"/>
          <w:szCs w:val="24"/>
        </w:rPr>
      </w:pPr>
      <w:r w:rsidRPr="00E47204">
        <w:rPr>
          <w:rFonts w:ascii="Verdana" w:hAnsi="Verdana" w:cs="Verdana"/>
          <w:b/>
          <w:bCs/>
          <w:sz w:val="24"/>
          <w:szCs w:val="24"/>
        </w:rPr>
        <w:t xml:space="preserve">Module </w:t>
      </w:r>
      <w:r>
        <w:rPr>
          <w:rFonts w:ascii="Verdana" w:hAnsi="Verdana" w:cs="Verdana"/>
          <w:b/>
          <w:bCs/>
          <w:sz w:val="24"/>
          <w:szCs w:val="24"/>
        </w:rPr>
        <w:t>10</w:t>
      </w:r>
      <w:r w:rsidRPr="00E47204">
        <w:rPr>
          <w:rFonts w:ascii="Verdana" w:hAnsi="Verdana" w:cs="Verdana"/>
          <w:b/>
          <w:bCs/>
          <w:sz w:val="24"/>
          <w:szCs w:val="24"/>
        </w:rPr>
        <w:t xml:space="preserve"> </w:t>
      </w:r>
    </w:p>
    <w:p w:rsidR="00096922" w:rsidRDefault="00096922" w:rsidP="00096922">
      <w:pPr>
        <w:spacing w:line="360" w:lineRule="auto"/>
        <w:rPr>
          <w:rFonts w:ascii="Verdana" w:hAnsi="Verdana" w:cs="Verdana"/>
          <w:b/>
          <w:bCs/>
        </w:rPr>
      </w:pPr>
    </w:p>
    <w:p w:rsidR="00096922" w:rsidRDefault="00096922" w:rsidP="00096922">
      <w:pPr>
        <w:spacing w:line="360" w:lineRule="auto"/>
        <w:rPr>
          <w:rFonts w:ascii="Verdana" w:hAnsi="Verdana"/>
          <w:b/>
          <w:bCs/>
          <w:sz w:val="24"/>
          <w:szCs w:val="24"/>
        </w:rPr>
      </w:pPr>
      <w:r>
        <w:rPr>
          <w:rFonts w:ascii="Verdana" w:hAnsi="Verdana"/>
          <w:b/>
          <w:bCs/>
          <w:sz w:val="24"/>
          <w:szCs w:val="24"/>
        </w:rPr>
        <w:t>Drafting Adopting and Implementing Mental Health Legislation</w:t>
      </w:r>
    </w:p>
    <w:p w:rsidR="00CC6E56" w:rsidRDefault="00CC6E56"/>
    <w:p w:rsidR="00943609" w:rsidRDefault="00943609" w:rsidP="00943609">
      <w:pPr>
        <w:rPr>
          <w:rFonts w:ascii="Verdana" w:hAnsi="Verdana"/>
          <w:b/>
          <w:bCs/>
          <w:color w:val="000000"/>
          <w:sz w:val="19"/>
          <w:szCs w:val="19"/>
        </w:rPr>
      </w:pPr>
      <w:r w:rsidRPr="007C30EA">
        <w:rPr>
          <w:rFonts w:ascii="Verdana" w:hAnsi="Verdana"/>
          <w:b/>
          <w:bCs/>
          <w:color w:val="000000"/>
          <w:sz w:val="19"/>
          <w:szCs w:val="19"/>
        </w:rPr>
        <w:t>Exercise 1</w:t>
      </w:r>
    </w:p>
    <w:p w:rsidR="00676CEB" w:rsidRPr="007C30EA" w:rsidRDefault="00676CEB" w:rsidP="00943609">
      <w:pPr>
        <w:rPr>
          <w:rFonts w:ascii="Verdana" w:hAnsi="Verdana"/>
          <w:b/>
          <w:bCs/>
          <w:color w:val="000000"/>
          <w:sz w:val="19"/>
          <w:szCs w:val="19"/>
        </w:rPr>
      </w:pPr>
      <w:bookmarkStart w:id="0" w:name="_GoBack"/>
      <w:bookmarkEnd w:id="0"/>
    </w:p>
    <w:tbl>
      <w:tblPr>
        <w:tblW w:w="96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5"/>
        <w:gridCol w:w="5150"/>
      </w:tblGrid>
      <w:tr w:rsidR="00943609" w:rsidRPr="00631122" w:rsidTr="00142AD7">
        <w:tc>
          <w:tcPr>
            <w:tcW w:w="4525" w:type="dxa"/>
            <w:tcBorders>
              <w:top w:val="outset" w:sz="6" w:space="0" w:color="auto"/>
              <w:left w:val="outset" w:sz="6" w:space="0" w:color="auto"/>
              <w:bottom w:val="outset" w:sz="6" w:space="0" w:color="auto"/>
              <w:right w:val="outset" w:sz="6" w:space="0" w:color="auto"/>
            </w:tcBorders>
            <w:hideMark/>
          </w:tcPr>
          <w:p w:rsidR="00943609" w:rsidRPr="005B77B2" w:rsidRDefault="00943609" w:rsidP="00142AD7">
            <w:pPr>
              <w:rPr>
                <w:b/>
              </w:rPr>
            </w:pPr>
            <w:r w:rsidRPr="005B77B2">
              <w:rPr>
                <w:b/>
              </w:rPr>
              <w:t>Unmet needs of mental health service users</w:t>
            </w:r>
          </w:p>
        </w:tc>
        <w:tc>
          <w:tcPr>
            <w:tcW w:w="5150" w:type="dxa"/>
            <w:tcBorders>
              <w:top w:val="outset" w:sz="6" w:space="0" w:color="auto"/>
              <w:left w:val="outset" w:sz="6" w:space="0" w:color="auto"/>
              <w:bottom w:val="outset" w:sz="6" w:space="0" w:color="auto"/>
              <w:right w:val="outset" w:sz="6" w:space="0" w:color="auto"/>
            </w:tcBorders>
            <w:hideMark/>
          </w:tcPr>
          <w:p w:rsidR="00943609" w:rsidRPr="005B77B2" w:rsidRDefault="00943609" w:rsidP="00142AD7">
            <w:pPr>
              <w:rPr>
                <w:b/>
              </w:rPr>
            </w:pPr>
            <w:r w:rsidRPr="005B77B2">
              <w:rPr>
                <w:b/>
              </w:rPr>
              <w:t>How legislation can address these needs</w:t>
            </w:r>
          </w:p>
        </w:tc>
      </w:tr>
      <w:tr w:rsidR="00943609" w:rsidRPr="00631122" w:rsidTr="00142AD7">
        <w:trPr>
          <w:trHeight w:val="420"/>
        </w:trPr>
        <w:tc>
          <w:tcPr>
            <w:tcW w:w="4525" w:type="dxa"/>
            <w:tcBorders>
              <w:top w:val="outset" w:sz="6" w:space="0" w:color="auto"/>
              <w:left w:val="outset" w:sz="6" w:space="0" w:color="auto"/>
              <w:bottom w:val="outset" w:sz="6" w:space="0" w:color="auto"/>
              <w:right w:val="outset" w:sz="6" w:space="0" w:color="auto"/>
            </w:tcBorders>
            <w:hideMark/>
          </w:tcPr>
          <w:p w:rsidR="00943609" w:rsidRPr="00C57051" w:rsidRDefault="00943609" w:rsidP="00943609">
            <w:pPr>
              <w:pStyle w:val="ListParagraph"/>
              <w:numPr>
                <w:ilvl w:val="0"/>
                <w:numId w:val="5"/>
              </w:numPr>
              <w:rPr>
                <w:lang w:val="en-029"/>
              </w:rPr>
            </w:pPr>
            <w:r w:rsidRPr="00C57051">
              <w:rPr>
                <w:lang w:val="en-029"/>
              </w:rPr>
              <w:t xml:space="preserve">There is no active oversight body to review cases of involuntary admission or any other human rights abuses in hospital or community. </w:t>
            </w:r>
          </w:p>
          <w:p w:rsidR="00943609" w:rsidRDefault="00943609" w:rsidP="00142AD7">
            <w:pPr>
              <w:pStyle w:val="ListParagraph"/>
              <w:rPr>
                <w:lang w:val="en-029"/>
              </w:rPr>
            </w:pPr>
          </w:p>
          <w:p w:rsidR="00943609" w:rsidRPr="00C57051" w:rsidRDefault="00943609" w:rsidP="00142AD7">
            <w:pPr>
              <w:pStyle w:val="ListParagraph"/>
              <w:rPr>
                <w:lang w:val="en-029"/>
              </w:rPr>
            </w:pPr>
            <w:r>
              <w:rPr>
                <w:lang w:val="en-029"/>
              </w:rPr>
              <w:t xml:space="preserve">Service users are not made aware of their rights in mental health and that complaints should be made regarding involuntary admissions. </w:t>
            </w:r>
          </w:p>
          <w:p w:rsidR="00943609" w:rsidRPr="00631122" w:rsidRDefault="00943609" w:rsidP="00142AD7">
            <w:pPr>
              <w:rPr>
                <w:lang w:val="en-029"/>
              </w:rPr>
            </w:pPr>
          </w:p>
          <w:p w:rsidR="00943609" w:rsidRPr="00631122" w:rsidRDefault="00943609" w:rsidP="00142AD7">
            <w:pPr>
              <w:rPr>
                <w:lang w:val="en-029"/>
              </w:rPr>
            </w:pPr>
          </w:p>
        </w:tc>
        <w:tc>
          <w:tcPr>
            <w:tcW w:w="5150" w:type="dxa"/>
            <w:tcBorders>
              <w:top w:val="outset" w:sz="6" w:space="0" w:color="auto"/>
              <w:left w:val="outset" w:sz="6" w:space="0" w:color="auto"/>
              <w:bottom w:val="outset" w:sz="6" w:space="0" w:color="auto"/>
              <w:right w:val="outset" w:sz="6" w:space="0" w:color="auto"/>
            </w:tcBorders>
            <w:hideMark/>
          </w:tcPr>
          <w:p w:rsidR="00943609" w:rsidRDefault="00943609" w:rsidP="00142AD7">
            <w:pPr>
              <w:rPr>
                <w:lang w:val="en-029"/>
              </w:rPr>
            </w:pPr>
            <w:r>
              <w:rPr>
                <w:lang w:val="en-029"/>
              </w:rPr>
              <w:t xml:space="preserve">The laws of Barbados (Mental Health Act section 11) make provision for a Mental Health Review Board, but it is not active. This law needs to be implemented and also service users should be made aware that applications could be made to this body. </w:t>
            </w:r>
          </w:p>
          <w:p w:rsidR="00943609" w:rsidRDefault="00943609" w:rsidP="00142AD7">
            <w:pPr>
              <w:rPr>
                <w:lang w:val="en-029"/>
              </w:rPr>
            </w:pPr>
            <w:r>
              <w:rPr>
                <w:lang w:val="en-029"/>
              </w:rPr>
              <w:t>This law only addresses admission to the Psychiatric Hospital and does not address other mental health facilities. The existing legislation can be amended by expanding its mandate to allow the Board to receive applications for any case of abuse in any approved mental health setting such as the Half-way house or the clinic setting.</w:t>
            </w:r>
          </w:p>
          <w:p w:rsidR="00943609" w:rsidRDefault="00943609" w:rsidP="00142AD7">
            <w:pPr>
              <w:rPr>
                <w:lang w:val="en-029"/>
              </w:rPr>
            </w:pPr>
            <w:r>
              <w:rPr>
                <w:lang w:val="en-029"/>
              </w:rPr>
              <w:t xml:space="preserve">This review body may be judicial or quasi-judicial in nature and the types of decisions made can be laid out in the mental health regulations, which allows them to be amended as needed. Decisions can include sanctions to the hospital personnel, the administration, </w:t>
            </w:r>
            <w:proofErr w:type="gramStart"/>
            <w:r>
              <w:rPr>
                <w:lang w:val="en-029"/>
              </w:rPr>
              <w:t>monetary</w:t>
            </w:r>
            <w:proofErr w:type="gramEnd"/>
            <w:r>
              <w:rPr>
                <w:lang w:val="en-029"/>
              </w:rPr>
              <w:t xml:space="preserve"> awards to the patient, release from hospitalisation or any other damages that may be legally awarded.</w:t>
            </w:r>
          </w:p>
          <w:p w:rsidR="00943609" w:rsidRPr="00631122" w:rsidRDefault="00943609" w:rsidP="00142AD7">
            <w:pPr>
              <w:rPr>
                <w:lang w:val="en-029"/>
              </w:rPr>
            </w:pPr>
            <w:r>
              <w:rPr>
                <w:lang w:val="en-029"/>
              </w:rPr>
              <w:t>There is currently no legislation which establishes an independent monitoring body to address human rights abuses. Due to financial and human resource constraints this mandate can be included in the functions of the Mental Health Review Board, and should consist of personnel independent of the hospital and government interference.</w:t>
            </w:r>
          </w:p>
        </w:tc>
      </w:tr>
      <w:tr w:rsidR="00943609" w:rsidRPr="00631122" w:rsidTr="00142AD7">
        <w:trPr>
          <w:trHeight w:val="315"/>
        </w:trPr>
        <w:tc>
          <w:tcPr>
            <w:tcW w:w="4525" w:type="dxa"/>
            <w:tcBorders>
              <w:top w:val="outset" w:sz="6" w:space="0" w:color="auto"/>
              <w:left w:val="outset" w:sz="6" w:space="0" w:color="auto"/>
              <w:bottom w:val="outset" w:sz="6" w:space="0" w:color="auto"/>
              <w:right w:val="outset" w:sz="6" w:space="0" w:color="auto"/>
            </w:tcBorders>
            <w:hideMark/>
          </w:tcPr>
          <w:p w:rsidR="00943609" w:rsidRPr="002704D9" w:rsidRDefault="00943609" w:rsidP="00943609">
            <w:pPr>
              <w:pStyle w:val="ListParagraph"/>
              <w:numPr>
                <w:ilvl w:val="0"/>
                <w:numId w:val="5"/>
              </w:numPr>
              <w:rPr>
                <w:lang w:val="en-029"/>
              </w:rPr>
            </w:pPr>
            <w:r>
              <w:rPr>
                <w:lang w:val="en-029"/>
              </w:rPr>
              <w:t xml:space="preserve">Paramedical services are still centralised at the Psychiatric Hospital, </w:t>
            </w:r>
            <w:proofErr w:type="spellStart"/>
            <w:r>
              <w:rPr>
                <w:lang w:val="en-029"/>
              </w:rPr>
              <w:t>ie</w:t>
            </w:r>
            <w:proofErr w:type="spellEnd"/>
            <w:r>
              <w:rPr>
                <w:lang w:val="en-029"/>
              </w:rPr>
              <w:t xml:space="preserve"> psychologists, occupational therapists and social workers. These services are essential for holistic management of persons with psychosocial disabilities.</w:t>
            </w:r>
          </w:p>
          <w:p w:rsidR="00943609" w:rsidRPr="00631122" w:rsidRDefault="00943609" w:rsidP="00142AD7">
            <w:pPr>
              <w:rPr>
                <w:lang w:val="en-029"/>
              </w:rPr>
            </w:pPr>
          </w:p>
          <w:p w:rsidR="00943609" w:rsidRPr="00631122" w:rsidRDefault="00943609" w:rsidP="00142AD7">
            <w:pPr>
              <w:rPr>
                <w:lang w:val="en-029"/>
              </w:rPr>
            </w:pPr>
          </w:p>
        </w:tc>
        <w:tc>
          <w:tcPr>
            <w:tcW w:w="5150" w:type="dxa"/>
            <w:tcBorders>
              <w:top w:val="outset" w:sz="6" w:space="0" w:color="auto"/>
              <w:left w:val="outset" w:sz="6" w:space="0" w:color="auto"/>
              <w:bottom w:val="outset" w:sz="6" w:space="0" w:color="auto"/>
              <w:right w:val="outset" w:sz="6" w:space="0" w:color="auto"/>
            </w:tcBorders>
            <w:hideMark/>
          </w:tcPr>
          <w:p w:rsidR="00943609" w:rsidRDefault="00943609" w:rsidP="00142AD7">
            <w:pPr>
              <w:rPr>
                <w:lang w:val="en-029"/>
              </w:rPr>
            </w:pPr>
            <w:r>
              <w:rPr>
                <w:lang w:val="en-029"/>
              </w:rPr>
              <w:t>Legislation and mental health policy can mandate parity of mental health care with physical care. Other non-medical services are available in the community in conjunction with the medical services in order to optimise medical care (</w:t>
            </w:r>
            <w:proofErr w:type="spellStart"/>
            <w:r>
              <w:rPr>
                <w:lang w:val="en-029"/>
              </w:rPr>
              <w:t>eg</w:t>
            </w:r>
            <w:proofErr w:type="spellEnd"/>
            <w:r>
              <w:rPr>
                <w:lang w:val="en-029"/>
              </w:rPr>
              <w:t xml:space="preserve"> dieticians, podiatrists, physiotherapy). Legislation can insist that services essential to the optimum management of psychosocial disabilities can be considered to the same level as those provided to medical specialities.</w:t>
            </w:r>
          </w:p>
          <w:p w:rsidR="00943609" w:rsidRDefault="00943609" w:rsidP="00142AD7">
            <w:pPr>
              <w:rPr>
                <w:lang w:val="en-029"/>
              </w:rPr>
            </w:pPr>
            <w:r>
              <w:rPr>
                <w:lang w:val="en-029"/>
              </w:rPr>
              <w:t xml:space="preserve">Negotiation with government will be necessary in order to allocate additional financial resources required for salaries, equipment, etc. The Health Services Act gives the Minister of Health powers to designate services. At the legislation and policy levels allocation of finances to mental health care can be </w:t>
            </w:r>
            <w:r>
              <w:rPr>
                <w:lang w:val="en-029"/>
              </w:rPr>
              <w:lastRenderedPageBreak/>
              <w:t xml:space="preserve">on par with other specialist services. </w:t>
            </w:r>
          </w:p>
          <w:p w:rsidR="00943609" w:rsidRDefault="00943609" w:rsidP="00142AD7">
            <w:pPr>
              <w:rPr>
                <w:lang w:val="en-029"/>
              </w:rPr>
            </w:pPr>
            <w:r>
              <w:rPr>
                <w:lang w:val="en-029"/>
              </w:rPr>
              <w:t>Trained personnel will be required. The new mental health act may consider including provision for licencing and certification of personnel.</w:t>
            </w:r>
          </w:p>
          <w:p w:rsidR="00943609" w:rsidRDefault="00943609" w:rsidP="00142AD7">
            <w:pPr>
              <w:rPr>
                <w:lang w:val="en-029"/>
              </w:rPr>
            </w:pPr>
          </w:p>
          <w:p w:rsidR="00943609" w:rsidRPr="00631122" w:rsidRDefault="00943609" w:rsidP="00142AD7">
            <w:pPr>
              <w:rPr>
                <w:lang w:val="en-029"/>
              </w:rPr>
            </w:pPr>
          </w:p>
        </w:tc>
      </w:tr>
      <w:tr w:rsidR="00943609" w:rsidRPr="00631122" w:rsidTr="00142AD7">
        <w:trPr>
          <w:trHeight w:val="360"/>
        </w:trPr>
        <w:tc>
          <w:tcPr>
            <w:tcW w:w="4525" w:type="dxa"/>
            <w:tcBorders>
              <w:top w:val="outset" w:sz="6" w:space="0" w:color="auto"/>
              <w:left w:val="outset" w:sz="6" w:space="0" w:color="auto"/>
              <w:bottom w:val="outset" w:sz="6" w:space="0" w:color="auto"/>
              <w:right w:val="outset" w:sz="6" w:space="0" w:color="auto"/>
            </w:tcBorders>
            <w:hideMark/>
          </w:tcPr>
          <w:p w:rsidR="00943609" w:rsidRPr="005B13FB" w:rsidRDefault="00943609" w:rsidP="00943609">
            <w:pPr>
              <w:pStyle w:val="ListParagraph"/>
              <w:numPr>
                <w:ilvl w:val="0"/>
                <w:numId w:val="5"/>
              </w:numPr>
              <w:rPr>
                <w:lang w:val="en-029"/>
              </w:rPr>
            </w:pPr>
            <w:r>
              <w:rPr>
                <w:lang w:val="en-029"/>
              </w:rPr>
              <w:lastRenderedPageBreak/>
              <w:t>The absence of anti-discrimination laws.</w:t>
            </w:r>
          </w:p>
          <w:p w:rsidR="00943609" w:rsidRPr="00631122" w:rsidRDefault="00943609" w:rsidP="00142AD7">
            <w:pPr>
              <w:rPr>
                <w:lang w:val="en-029"/>
              </w:rPr>
            </w:pPr>
          </w:p>
          <w:p w:rsidR="00943609" w:rsidRPr="00631122" w:rsidRDefault="00943609" w:rsidP="00142AD7">
            <w:pPr>
              <w:rPr>
                <w:lang w:val="en-029"/>
              </w:rPr>
            </w:pPr>
          </w:p>
          <w:p w:rsidR="00943609" w:rsidRPr="00631122" w:rsidRDefault="00943609" w:rsidP="00142AD7">
            <w:pPr>
              <w:rPr>
                <w:lang w:val="en-029"/>
              </w:rPr>
            </w:pPr>
          </w:p>
        </w:tc>
        <w:tc>
          <w:tcPr>
            <w:tcW w:w="5150" w:type="dxa"/>
            <w:tcBorders>
              <w:top w:val="outset" w:sz="6" w:space="0" w:color="auto"/>
              <w:left w:val="outset" w:sz="6" w:space="0" w:color="auto"/>
              <w:bottom w:val="outset" w:sz="6" w:space="0" w:color="auto"/>
              <w:right w:val="outset" w:sz="6" w:space="0" w:color="auto"/>
            </w:tcBorders>
            <w:hideMark/>
          </w:tcPr>
          <w:p w:rsidR="00943609" w:rsidRDefault="00943609" w:rsidP="00142AD7">
            <w:pPr>
              <w:rPr>
                <w:lang w:val="en-029"/>
              </w:rPr>
            </w:pPr>
            <w:r>
              <w:rPr>
                <w:lang w:val="en-029"/>
              </w:rPr>
              <w:t>Persons with mental illness continue to experience discrimination in the workplace, and feel they would lose their jobs i</w:t>
            </w:r>
            <w:r>
              <w:rPr>
                <w:lang w:val="en-029"/>
              </w:rPr>
              <w:t>f</w:t>
            </w:r>
            <w:r>
              <w:rPr>
                <w:lang w:val="en-029"/>
              </w:rPr>
              <w:t xml:space="preserve"> they disclose to their employer that there is a history of mental illness. Anti-discrimination laws would address this by insisting that persons cannot be dismissed because of mental illness. Additionally person must be allowed to attend their mental health appointments, which can be for some persons more frequent than other types of medical appointments.  Legislation can determine that persons cannot be dismissed or reprimanded in the workplace for absence on medical grounds, including time needed to attend to mental health appointments.</w:t>
            </w:r>
          </w:p>
          <w:p w:rsidR="00943609" w:rsidRDefault="00943609" w:rsidP="00142AD7">
            <w:pPr>
              <w:rPr>
                <w:lang w:val="en-029"/>
              </w:rPr>
            </w:pPr>
          </w:p>
          <w:p w:rsidR="00943609" w:rsidRDefault="00943609" w:rsidP="00142AD7">
            <w:pPr>
              <w:rPr>
                <w:lang w:val="en-029"/>
              </w:rPr>
            </w:pPr>
            <w:r>
              <w:rPr>
                <w:lang w:val="en-029"/>
              </w:rPr>
              <w:t xml:space="preserve">Anti-discrimination laws can also address </w:t>
            </w:r>
            <w:r>
              <w:rPr>
                <w:lang w:val="en-029"/>
              </w:rPr>
              <w:t>the need for supported housing for persons with mental illness.</w:t>
            </w:r>
            <w:r w:rsidR="00FD7A18">
              <w:rPr>
                <w:lang w:val="en-029"/>
              </w:rPr>
              <w:t xml:space="preserve"> </w:t>
            </w:r>
            <w:r w:rsidR="002F23B9">
              <w:rPr>
                <w:lang w:val="en-029"/>
              </w:rPr>
              <w:t>Persons with mental illness are at times denied housing in the wider community, or if hosing is initially available they may be asked to leave</w:t>
            </w:r>
            <w:r w:rsidR="00B41A65">
              <w:rPr>
                <w:lang w:val="en-029"/>
              </w:rPr>
              <w:t xml:space="preserve"> their accommodation</w:t>
            </w:r>
            <w:r w:rsidR="002F23B9">
              <w:rPr>
                <w:lang w:val="en-029"/>
              </w:rPr>
              <w:t xml:space="preserve"> at times when there is a relapse of their mental ill health.</w:t>
            </w:r>
            <w:r w:rsidR="00B41A65">
              <w:rPr>
                <w:lang w:val="en-029"/>
              </w:rPr>
              <w:t xml:space="preserve"> Legislated supported housing options can provide community based accommodation for persons with psychosocial disabilities who might otherwise find themselves in suboptimal living arrangements due to a lack of viable options.</w:t>
            </w:r>
          </w:p>
          <w:p w:rsidR="00B55E61" w:rsidRDefault="00B55E61" w:rsidP="00142AD7">
            <w:pPr>
              <w:rPr>
                <w:lang w:val="en-029"/>
              </w:rPr>
            </w:pPr>
          </w:p>
          <w:p w:rsidR="00B55E61" w:rsidRPr="00631122" w:rsidRDefault="00B55E61" w:rsidP="00142AD7">
            <w:pPr>
              <w:rPr>
                <w:lang w:val="en-029"/>
              </w:rPr>
            </w:pPr>
            <w:r>
              <w:rPr>
                <w:lang w:val="en-029"/>
              </w:rPr>
              <w:t xml:space="preserve">Anti-discrimination laws can also be utilised in maintaining the economic, social, cultural, political and civil rights of persons with mental health disorders who may find these rights breached in their daily </w:t>
            </w:r>
            <w:proofErr w:type="spellStart"/>
            <w:r>
              <w:rPr>
                <w:lang w:val="en-029"/>
              </w:rPr>
              <w:t>activites</w:t>
            </w:r>
            <w:proofErr w:type="spellEnd"/>
            <w:r>
              <w:rPr>
                <w:lang w:val="en-029"/>
              </w:rPr>
              <w:t>.</w:t>
            </w:r>
          </w:p>
        </w:tc>
      </w:tr>
    </w:tbl>
    <w:p w:rsidR="00943609" w:rsidRPr="00631122" w:rsidRDefault="00943609" w:rsidP="00943609">
      <w:pPr>
        <w:rPr>
          <w:lang w:val="en-029"/>
        </w:rPr>
      </w:pPr>
    </w:p>
    <w:p w:rsidR="00943609" w:rsidRDefault="00943609" w:rsidP="00943609">
      <w:pPr>
        <w:rPr>
          <w:b/>
          <w:bCs/>
        </w:rPr>
      </w:pPr>
      <w:r>
        <w:rPr>
          <w:b/>
          <w:bCs/>
        </w:rPr>
        <w:br w:type="page"/>
      </w:r>
    </w:p>
    <w:p w:rsidR="00943609" w:rsidRPr="00631122" w:rsidRDefault="00943609" w:rsidP="00943609">
      <w:r>
        <w:rPr>
          <w:b/>
          <w:bCs/>
        </w:rPr>
        <w:lastRenderedPageBreak/>
        <w:t>Exercise 2</w:t>
      </w:r>
    </w:p>
    <w:p w:rsidR="00943609" w:rsidRPr="00631122" w:rsidRDefault="00943609" w:rsidP="00943609">
      <w:pPr>
        <w:rPr>
          <w:lang w:val="en-029"/>
        </w:rPr>
      </w:pPr>
    </w:p>
    <w:tbl>
      <w:tblPr>
        <w:tblW w:w="100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55"/>
        <w:gridCol w:w="5695"/>
      </w:tblGrid>
      <w:tr w:rsidR="00943609" w:rsidRPr="00631122" w:rsidTr="00142AD7">
        <w:tc>
          <w:tcPr>
            <w:tcW w:w="4290" w:type="dxa"/>
            <w:tcBorders>
              <w:top w:val="outset" w:sz="6" w:space="0" w:color="auto"/>
              <w:left w:val="outset" w:sz="6" w:space="0" w:color="auto"/>
              <w:bottom w:val="outset" w:sz="6" w:space="0" w:color="auto"/>
              <w:right w:val="outset" w:sz="6" w:space="0" w:color="auto"/>
            </w:tcBorders>
            <w:hideMark/>
          </w:tcPr>
          <w:p w:rsidR="00943609" w:rsidRPr="00631122" w:rsidRDefault="00943609" w:rsidP="00142AD7">
            <w:pPr>
              <w:rPr>
                <w:lang w:val="en-029"/>
              </w:rPr>
            </w:pPr>
            <w:r w:rsidRPr="00631122">
              <w:rPr>
                <w:b/>
                <w:bCs/>
              </w:rPr>
              <w:t>Potential barriers/obstacles to drafting, adopting or implementing mental health legislation</w:t>
            </w:r>
          </w:p>
        </w:tc>
        <w:tc>
          <w:tcPr>
            <w:tcW w:w="5610" w:type="dxa"/>
            <w:tcBorders>
              <w:top w:val="outset" w:sz="6" w:space="0" w:color="auto"/>
              <w:left w:val="outset" w:sz="6" w:space="0" w:color="auto"/>
              <w:bottom w:val="outset" w:sz="6" w:space="0" w:color="auto"/>
              <w:right w:val="outset" w:sz="6" w:space="0" w:color="auto"/>
            </w:tcBorders>
            <w:hideMark/>
          </w:tcPr>
          <w:p w:rsidR="00943609" w:rsidRPr="00631122" w:rsidRDefault="00943609" w:rsidP="00142AD7">
            <w:pPr>
              <w:rPr>
                <w:lang w:val="en-029"/>
              </w:rPr>
            </w:pPr>
            <w:r w:rsidRPr="00631122">
              <w:rPr>
                <w:b/>
                <w:bCs/>
              </w:rPr>
              <w:t>Strategies to overcome them</w:t>
            </w:r>
          </w:p>
          <w:p w:rsidR="00943609" w:rsidRPr="00631122" w:rsidRDefault="00943609" w:rsidP="00142AD7">
            <w:pPr>
              <w:rPr>
                <w:lang w:val="en-029"/>
              </w:rPr>
            </w:pPr>
          </w:p>
          <w:p w:rsidR="00943609" w:rsidRPr="00631122" w:rsidRDefault="00943609" w:rsidP="00142AD7">
            <w:pPr>
              <w:rPr>
                <w:lang w:val="en-029"/>
              </w:rPr>
            </w:pPr>
          </w:p>
        </w:tc>
      </w:tr>
      <w:tr w:rsidR="00943609" w:rsidRPr="00631122" w:rsidTr="00142AD7">
        <w:tc>
          <w:tcPr>
            <w:tcW w:w="4290" w:type="dxa"/>
            <w:tcBorders>
              <w:top w:val="outset" w:sz="6" w:space="0" w:color="auto"/>
              <w:left w:val="outset" w:sz="6" w:space="0" w:color="auto"/>
              <w:bottom w:val="outset" w:sz="6" w:space="0" w:color="auto"/>
              <w:right w:val="outset" w:sz="6" w:space="0" w:color="auto"/>
            </w:tcBorders>
            <w:hideMark/>
          </w:tcPr>
          <w:p w:rsidR="00943609" w:rsidRPr="002704D9" w:rsidRDefault="00943609" w:rsidP="00943609">
            <w:pPr>
              <w:widowControl/>
              <w:numPr>
                <w:ilvl w:val="0"/>
                <w:numId w:val="1"/>
              </w:numPr>
              <w:suppressAutoHyphens w:val="0"/>
              <w:spacing w:after="160" w:line="259" w:lineRule="auto"/>
              <w:rPr>
                <w:u w:val="single"/>
                <w:lang w:val="en-029"/>
              </w:rPr>
            </w:pPr>
            <w:r w:rsidRPr="002704D9">
              <w:rPr>
                <w:u w:val="single"/>
                <w:lang w:val="en-029"/>
              </w:rPr>
              <w:t>Barrier to drafting legislation</w:t>
            </w:r>
          </w:p>
          <w:p w:rsidR="00943609" w:rsidRPr="00631122" w:rsidRDefault="00943609" w:rsidP="00142AD7">
            <w:pPr>
              <w:rPr>
                <w:lang w:val="en-029"/>
              </w:rPr>
            </w:pPr>
            <w:r>
              <w:rPr>
                <w:lang w:val="en-029"/>
              </w:rPr>
              <w:t>Tension between those who would focus on “improving” hospital based care and those who would promote full community integration and deinstitutionalisation.</w:t>
            </w:r>
          </w:p>
          <w:p w:rsidR="00943609" w:rsidRPr="00631122" w:rsidRDefault="00943609" w:rsidP="00142AD7">
            <w:pPr>
              <w:rPr>
                <w:lang w:val="en-029"/>
              </w:rPr>
            </w:pPr>
          </w:p>
          <w:p w:rsidR="00943609" w:rsidRPr="00631122" w:rsidRDefault="00943609" w:rsidP="00142AD7">
            <w:pPr>
              <w:rPr>
                <w:lang w:val="en-029"/>
              </w:rPr>
            </w:pPr>
          </w:p>
        </w:tc>
        <w:tc>
          <w:tcPr>
            <w:tcW w:w="5610" w:type="dxa"/>
            <w:tcBorders>
              <w:top w:val="outset" w:sz="6" w:space="0" w:color="auto"/>
              <w:left w:val="outset" w:sz="6" w:space="0" w:color="auto"/>
              <w:bottom w:val="outset" w:sz="6" w:space="0" w:color="auto"/>
              <w:right w:val="outset" w:sz="6" w:space="0" w:color="auto"/>
            </w:tcBorders>
            <w:hideMark/>
          </w:tcPr>
          <w:p w:rsidR="00943609" w:rsidRDefault="00943609" w:rsidP="00142AD7">
            <w:pPr>
              <w:rPr>
                <w:lang w:val="en-029"/>
              </w:rPr>
            </w:pPr>
            <w:r>
              <w:rPr>
                <w:lang w:val="en-029"/>
              </w:rPr>
              <w:t>It would be necessary to negotiate with parliamentarians and politicians to meet a consensus on the legislation.</w:t>
            </w:r>
          </w:p>
          <w:p w:rsidR="00943609" w:rsidRDefault="00943609" w:rsidP="00142AD7">
            <w:pPr>
              <w:rPr>
                <w:lang w:val="en-029"/>
              </w:rPr>
            </w:pPr>
            <w:r>
              <w:rPr>
                <w:lang w:val="en-029"/>
              </w:rPr>
              <w:t>Negotiation with judicial authorities, legal representatives, police and correctional services will be aimed at promoting the desire to be compliant with international conventions, as well as education regarding their new roles and responsibilities.</w:t>
            </w:r>
          </w:p>
          <w:p w:rsidR="00943609" w:rsidRPr="00631122" w:rsidRDefault="00943609" w:rsidP="00142AD7">
            <w:pPr>
              <w:rPr>
                <w:lang w:val="en-029"/>
              </w:rPr>
            </w:pPr>
            <w:r>
              <w:rPr>
                <w:lang w:val="en-029"/>
              </w:rPr>
              <w:t>Appoint representatives from both interest groups to the drafting body, encourage participation, verify human rights elements that are immediately applicable and negotiate to achieve progressive realisation of other human rights ideals.</w:t>
            </w:r>
          </w:p>
        </w:tc>
      </w:tr>
      <w:tr w:rsidR="00943609" w:rsidRPr="00631122" w:rsidTr="00142AD7">
        <w:tc>
          <w:tcPr>
            <w:tcW w:w="4290" w:type="dxa"/>
            <w:tcBorders>
              <w:top w:val="outset" w:sz="6" w:space="0" w:color="auto"/>
              <w:left w:val="outset" w:sz="6" w:space="0" w:color="auto"/>
              <w:bottom w:val="outset" w:sz="6" w:space="0" w:color="auto"/>
              <w:right w:val="outset" w:sz="6" w:space="0" w:color="auto"/>
            </w:tcBorders>
            <w:hideMark/>
          </w:tcPr>
          <w:p w:rsidR="00943609" w:rsidRPr="007C30EA" w:rsidRDefault="00943609" w:rsidP="00943609">
            <w:pPr>
              <w:widowControl/>
              <w:numPr>
                <w:ilvl w:val="0"/>
                <w:numId w:val="2"/>
              </w:numPr>
              <w:suppressAutoHyphens w:val="0"/>
              <w:spacing w:after="160" w:line="259" w:lineRule="auto"/>
              <w:rPr>
                <w:u w:val="single"/>
                <w:lang w:val="en-029"/>
              </w:rPr>
            </w:pPr>
            <w:r w:rsidRPr="007C30EA">
              <w:rPr>
                <w:u w:val="single"/>
                <w:lang w:val="en-029"/>
              </w:rPr>
              <w:t>Barrier to adopting legislation</w:t>
            </w:r>
          </w:p>
          <w:p w:rsidR="00943609" w:rsidRDefault="00943609" w:rsidP="00142AD7">
            <w:pPr>
              <w:rPr>
                <w:lang w:val="en-029"/>
              </w:rPr>
            </w:pPr>
            <w:r>
              <w:rPr>
                <w:lang w:val="en-029"/>
              </w:rPr>
              <w:t xml:space="preserve">There may be tension between those who emphasise human-rights approach to mental health laws and those whose focus is on public safety and security. </w:t>
            </w:r>
          </w:p>
          <w:p w:rsidR="00943609" w:rsidRPr="00631122" w:rsidRDefault="00943609" w:rsidP="00142AD7">
            <w:pPr>
              <w:rPr>
                <w:lang w:val="en-029"/>
              </w:rPr>
            </w:pPr>
            <w:r>
              <w:rPr>
                <w:lang w:val="en-029"/>
              </w:rPr>
              <w:t>Resistance will be especially notable from family members who promote the stereotype that mentally ill persons are aggressive, and are society is best served by extended hospitalisation.</w:t>
            </w:r>
          </w:p>
          <w:p w:rsidR="00943609" w:rsidRPr="00631122" w:rsidRDefault="00943609" w:rsidP="00142AD7">
            <w:pPr>
              <w:rPr>
                <w:lang w:val="en-029"/>
              </w:rPr>
            </w:pPr>
          </w:p>
          <w:p w:rsidR="00943609" w:rsidRPr="00631122" w:rsidRDefault="00943609" w:rsidP="00142AD7">
            <w:pPr>
              <w:rPr>
                <w:lang w:val="en-029"/>
              </w:rPr>
            </w:pPr>
          </w:p>
        </w:tc>
        <w:tc>
          <w:tcPr>
            <w:tcW w:w="5610" w:type="dxa"/>
            <w:tcBorders>
              <w:top w:val="outset" w:sz="6" w:space="0" w:color="auto"/>
              <w:left w:val="outset" w:sz="6" w:space="0" w:color="auto"/>
              <w:bottom w:val="outset" w:sz="6" w:space="0" w:color="auto"/>
              <w:right w:val="outset" w:sz="6" w:space="0" w:color="auto"/>
            </w:tcBorders>
            <w:hideMark/>
          </w:tcPr>
          <w:p w:rsidR="00943609" w:rsidRDefault="00943609" w:rsidP="00142AD7">
            <w:pPr>
              <w:rPr>
                <w:lang w:val="en-029"/>
              </w:rPr>
            </w:pPr>
            <w:r>
              <w:rPr>
                <w:lang w:val="en-029"/>
              </w:rPr>
              <w:t>Targeted education campaigns for relatives of persons with mental illness which sensitise carers about the rights of persons with disabilities could be used. This would especially be useful in peer support groups, and similar organisations whereby relatives could support each other in their concerns.</w:t>
            </w:r>
          </w:p>
          <w:p w:rsidR="00943609" w:rsidRDefault="00943609" w:rsidP="00142AD7">
            <w:pPr>
              <w:rPr>
                <w:lang w:val="en-029"/>
              </w:rPr>
            </w:pPr>
            <w:r>
              <w:rPr>
                <w:lang w:val="en-029"/>
              </w:rPr>
              <w:t xml:space="preserve">Wider community groups can be participants in anti-stigma campaigns and emphasising human rights for all persons with an emphasis on persons with mental disabilities. </w:t>
            </w:r>
          </w:p>
          <w:p w:rsidR="00943609" w:rsidRDefault="00943609" w:rsidP="00142AD7">
            <w:pPr>
              <w:rPr>
                <w:lang w:val="en-029"/>
              </w:rPr>
            </w:pPr>
            <w:r>
              <w:rPr>
                <w:lang w:val="en-029"/>
              </w:rPr>
              <w:t>Dissemination of information leaflets and guidebooks on mental health and human rights to the general public, and to anyone coming in contact with mental health services helps to increase public acceptance of these ideals.</w:t>
            </w:r>
          </w:p>
          <w:p w:rsidR="00943609" w:rsidRPr="00631122" w:rsidRDefault="00943609" w:rsidP="00142AD7">
            <w:pPr>
              <w:rPr>
                <w:lang w:val="en-029"/>
              </w:rPr>
            </w:pPr>
          </w:p>
        </w:tc>
      </w:tr>
      <w:tr w:rsidR="00943609" w:rsidRPr="00631122" w:rsidTr="00142AD7">
        <w:tc>
          <w:tcPr>
            <w:tcW w:w="4290" w:type="dxa"/>
            <w:tcBorders>
              <w:top w:val="outset" w:sz="6" w:space="0" w:color="auto"/>
              <w:left w:val="outset" w:sz="6" w:space="0" w:color="auto"/>
              <w:bottom w:val="outset" w:sz="6" w:space="0" w:color="auto"/>
              <w:right w:val="outset" w:sz="6" w:space="0" w:color="auto"/>
            </w:tcBorders>
            <w:hideMark/>
          </w:tcPr>
          <w:p w:rsidR="00943609" w:rsidRPr="007C30EA" w:rsidRDefault="00943609" w:rsidP="00943609">
            <w:pPr>
              <w:widowControl/>
              <w:numPr>
                <w:ilvl w:val="0"/>
                <w:numId w:val="3"/>
              </w:numPr>
              <w:suppressAutoHyphens w:val="0"/>
              <w:spacing w:after="160" w:line="259" w:lineRule="auto"/>
              <w:rPr>
                <w:u w:val="single"/>
                <w:lang w:val="en-029"/>
              </w:rPr>
            </w:pPr>
            <w:r w:rsidRPr="007C30EA">
              <w:rPr>
                <w:u w:val="single"/>
                <w:lang w:val="en-029"/>
              </w:rPr>
              <w:t>Barrier to implementing legislation</w:t>
            </w:r>
          </w:p>
          <w:p w:rsidR="00943609" w:rsidRPr="00631122" w:rsidRDefault="00943609" w:rsidP="00142AD7">
            <w:pPr>
              <w:rPr>
                <w:lang w:val="en-029"/>
              </w:rPr>
            </w:pPr>
            <w:r>
              <w:rPr>
                <w:lang w:val="en-029"/>
              </w:rPr>
              <w:t>Health professionals, both general health and mental health, may resist changes to legislation, especially those changes which reduce powers of involuntary admission.</w:t>
            </w:r>
          </w:p>
          <w:p w:rsidR="00943609" w:rsidRDefault="00943609" w:rsidP="00943609">
            <w:pPr>
              <w:pStyle w:val="ListParagraph"/>
              <w:numPr>
                <w:ilvl w:val="0"/>
                <w:numId w:val="6"/>
              </w:numPr>
              <w:rPr>
                <w:lang w:val="en-029"/>
              </w:rPr>
            </w:pPr>
            <w:r>
              <w:rPr>
                <w:lang w:val="en-029"/>
              </w:rPr>
              <w:t>General health professionals use the involuntary process inappropriately in persons who need mental health intervention without consideration that this removes patient’s autonomy</w:t>
            </w:r>
          </w:p>
          <w:p w:rsidR="00943609" w:rsidRPr="00467566" w:rsidRDefault="00943609" w:rsidP="00943609">
            <w:pPr>
              <w:pStyle w:val="ListParagraph"/>
              <w:numPr>
                <w:ilvl w:val="0"/>
                <w:numId w:val="6"/>
              </w:numPr>
              <w:rPr>
                <w:lang w:val="en-029"/>
              </w:rPr>
            </w:pPr>
            <w:r>
              <w:rPr>
                <w:lang w:val="en-029"/>
              </w:rPr>
              <w:t>Mental health professionals use the involuntary process to hospitalise patients who refuse voluntary admission, even in some cases where there is no serious adverse incidents such as violence.</w:t>
            </w:r>
          </w:p>
          <w:p w:rsidR="00943609" w:rsidRPr="00631122" w:rsidRDefault="00943609" w:rsidP="00142AD7">
            <w:pPr>
              <w:rPr>
                <w:lang w:val="en-029"/>
              </w:rPr>
            </w:pPr>
          </w:p>
        </w:tc>
        <w:tc>
          <w:tcPr>
            <w:tcW w:w="5610" w:type="dxa"/>
            <w:tcBorders>
              <w:top w:val="outset" w:sz="6" w:space="0" w:color="auto"/>
              <w:left w:val="outset" w:sz="6" w:space="0" w:color="auto"/>
              <w:bottom w:val="outset" w:sz="6" w:space="0" w:color="auto"/>
              <w:right w:val="outset" w:sz="6" w:space="0" w:color="auto"/>
            </w:tcBorders>
            <w:hideMark/>
          </w:tcPr>
          <w:p w:rsidR="00943609" w:rsidRDefault="00943609" w:rsidP="00142AD7">
            <w:pPr>
              <w:rPr>
                <w:lang w:val="en-029"/>
              </w:rPr>
            </w:pPr>
            <w:r w:rsidRPr="00A2264C">
              <w:rPr>
                <w:lang w:val="en-029"/>
              </w:rPr>
              <w:t xml:space="preserve">Curriculum for health care providers in training should include exposure to the ethical and human rights considerations relevant to mental illness. </w:t>
            </w:r>
          </w:p>
          <w:p w:rsidR="00943609" w:rsidRDefault="00943609" w:rsidP="00142AD7">
            <w:pPr>
              <w:rPr>
                <w:lang w:val="en-029"/>
              </w:rPr>
            </w:pPr>
            <w:r>
              <w:rPr>
                <w:lang w:val="en-029"/>
              </w:rPr>
              <w:t>Seminars and continuing education modules can be aimed at medical and mental health professionals to sensitise them to the change in legislation and also to equip them with the knowledge to access assistance for persons with mental illness.</w:t>
            </w:r>
          </w:p>
          <w:p w:rsidR="00943609" w:rsidRDefault="00943609" w:rsidP="00142AD7">
            <w:pPr>
              <w:rPr>
                <w:lang w:val="en-029"/>
              </w:rPr>
            </w:pPr>
            <w:r>
              <w:rPr>
                <w:lang w:val="en-029"/>
              </w:rPr>
              <w:t>Seminars should also be conducted with para-medical and legal professionals, and those in training, on the new legislation and human rights considerations.</w:t>
            </w:r>
          </w:p>
          <w:p w:rsidR="00943609" w:rsidRDefault="00943609" w:rsidP="00142AD7">
            <w:pPr>
              <w:rPr>
                <w:lang w:val="en-029"/>
              </w:rPr>
            </w:pPr>
            <w:r>
              <w:rPr>
                <w:lang w:val="en-029"/>
              </w:rPr>
              <w:t xml:space="preserve">“Train the trainers” modules should be established to increase the numbers of persons with the skills to provide ongoing education. </w:t>
            </w:r>
          </w:p>
          <w:p w:rsidR="00943609" w:rsidRPr="00A2264C" w:rsidRDefault="00943609" w:rsidP="00142AD7">
            <w:pPr>
              <w:rPr>
                <w:lang w:val="en-029"/>
              </w:rPr>
            </w:pPr>
          </w:p>
          <w:p w:rsidR="00943609" w:rsidRPr="00A2264C" w:rsidRDefault="00943609" w:rsidP="00142AD7">
            <w:pPr>
              <w:rPr>
                <w:lang w:val="en-029"/>
              </w:rPr>
            </w:pPr>
          </w:p>
        </w:tc>
      </w:tr>
    </w:tbl>
    <w:p w:rsidR="00943609" w:rsidRDefault="00943609" w:rsidP="00943609"/>
    <w:p w:rsidR="00943609" w:rsidRDefault="00943609"/>
    <w:sectPr w:rsidR="00943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65188"/>
    <w:multiLevelType w:val="hybridMultilevel"/>
    <w:tmpl w:val="2E18DD2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1F6228E7"/>
    <w:multiLevelType w:val="hybridMultilevel"/>
    <w:tmpl w:val="671067C8"/>
    <w:lvl w:ilvl="0" w:tplc="2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51027FF2"/>
    <w:multiLevelType w:val="multilevel"/>
    <w:tmpl w:val="820C7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14A94"/>
    <w:multiLevelType w:val="multilevel"/>
    <w:tmpl w:val="A31A9A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117BA6"/>
    <w:multiLevelType w:val="multilevel"/>
    <w:tmpl w:val="BF8E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C75BCA"/>
    <w:multiLevelType w:val="hybridMultilevel"/>
    <w:tmpl w:val="32B0E814"/>
    <w:lvl w:ilvl="0" w:tplc="24090011">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22"/>
    <w:rsid w:val="00096922"/>
    <w:rsid w:val="0013606A"/>
    <w:rsid w:val="002F23B9"/>
    <w:rsid w:val="00676CEB"/>
    <w:rsid w:val="00943609"/>
    <w:rsid w:val="00B41A65"/>
    <w:rsid w:val="00B55E61"/>
    <w:rsid w:val="00CC6E56"/>
    <w:rsid w:val="00FD7A18"/>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47115-BDA6-46E5-9013-6A32C6F1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22"/>
    <w:pPr>
      <w:widowControl w:val="0"/>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609"/>
    <w:pPr>
      <w:widowControl/>
      <w:suppressAutoHyphens w:val="0"/>
      <w:spacing w:before="100" w:beforeAutospacing="1" w:after="100" w:afterAutospacing="1"/>
    </w:pPr>
    <w:rPr>
      <w:sz w:val="24"/>
      <w:szCs w:val="24"/>
      <w:lang w:val="en-029" w:eastAsia="en-029"/>
    </w:rPr>
  </w:style>
  <w:style w:type="paragraph" w:styleId="ListParagraph">
    <w:name w:val="List Paragraph"/>
    <w:basedOn w:val="Normal"/>
    <w:uiPriority w:val="34"/>
    <w:qFormat/>
    <w:rsid w:val="00943609"/>
    <w:pPr>
      <w:widowControl/>
      <w:suppressAutoHyphens w:val="0"/>
      <w:spacing w:after="160" w:line="259"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Price-Humphrey</dc:creator>
  <cp:keywords/>
  <dc:description/>
  <cp:lastModifiedBy>June Price-Humphrey</cp:lastModifiedBy>
  <cp:revision>8</cp:revision>
  <dcterms:created xsi:type="dcterms:W3CDTF">2015-08-12T06:00:00Z</dcterms:created>
  <dcterms:modified xsi:type="dcterms:W3CDTF">2015-08-12T09:09:00Z</dcterms:modified>
</cp:coreProperties>
</file>