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A1" w:rsidRPr="00E47204" w:rsidRDefault="007631A1" w:rsidP="007631A1">
      <w:pPr>
        <w:spacing w:line="360" w:lineRule="auto"/>
        <w:rPr>
          <w:rFonts w:ascii="Verdana" w:hAnsi="Verdana" w:cs="Verdana"/>
          <w:b/>
          <w:bCs/>
          <w:sz w:val="24"/>
          <w:szCs w:val="24"/>
          <w:u w:val="single"/>
        </w:rPr>
      </w:pPr>
      <w:r w:rsidRPr="00E47204">
        <w:rPr>
          <w:rFonts w:ascii="Verdana" w:hAnsi="Verdana" w:cs="Verdana"/>
          <w:b/>
          <w:bCs/>
          <w:sz w:val="24"/>
          <w:szCs w:val="24"/>
          <w:u w:val="single"/>
        </w:rPr>
        <w:t>International Diploma in Mental Health, Human Rights and Law</w:t>
      </w:r>
    </w:p>
    <w:p w:rsidR="007631A1" w:rsidRPr="00E47204" w:rsidRDefault="007631A1" w:rsidP="007631A1">
      <w:pPr>
        <w:spacing w:line="360" w:lineRule="auto"/>
        <w:rPr>
          <w:rFonts w:ascii="Verdana" w:hAnsi="Verdana" w:cs="Verdana"/>
          <w:b/>
          <w:bCs/>
          <w:sz w:val="24"/>
          <w:szCs w:val="24"/>
          <w:u w:val="single"/>
        </w:rPr>
      </w:pPr>
      <w:r w:rsidRPr="00E47204">
        <w:rPr>
          <w:rFonts w:ascii="Verdana" w:hAnsi="Verdana" w:cs="Verdana"/>
          <w:b/>
          <w:bCs/>
          <w:sz w:val="24"/>
          <w:szCs w:val="24"/>
          <w:u w:val="single"/>
        </w:rPr>
        <w:t>2014-2015</w:t>
      </w:r>
    </w:p>
    <w:p w:rsidR="007631A1" w:rsidRPr="00E47204" w:rsidRDefault="007631A1" w:rsidP="007631A1">
      <w:pPr>
        <w:spacing w:line="360" w:lineRule="auto"/>
        <w:rPr>
          <w:rFonts w:ascii="Verdana" w:hAnsi="Verdana" w:cs="Verdana"/>
          <w:b/>
          <w:bCs/>
          <w:sz w:val="24"/>
          <w:szCs w:val="24"/>
          <w:u w:val="single"/>
        </w:rPr>
      </w:pPr>
    </w:p>
    <w:p w:rsidR="007631A1" w:rsidRPr="00E47204" w:rsidRDefault="007631A1" w:rsidP="007631A1">
      <w:pPr>
        <w:rPr>
          <w:rFonts w:ascii="Verdana" w:hAnsi="Verdana" w:cs="Verdana"/>
          <w:b/>
          <w:bCs/>
          <w:sz w:val="24"/>
          <w:szCs w:val="24"/>
        </w:rPr>
      </w:pPr>
      <w:r w:rsidRPr="00E47204">
        <w:rPr>
          <w:rFonts w:ascii="Verdana" w:hAnsi="Verdana" w:cs="Verdana"/>
          <w:b/>
          <w:bCs/>
          <w:sz w:val="24"/>
          <w:szCs w:val="24"/>
        </w:rPr>
        <w:t>Dr</w:t>
      </w:r>
      <w:r>
        <w:rPr>
          <w:rFonts w:ascii="Verdana" w:hAnsi="Verdana" w:cs="Verdana"/>
          <w:b/>
          <w:bCs/>
          <w:sz w:val="24"/>
          <w:szCs w:val="24"/>
        </w:rPr>
        <w:t>.</w:t>
      </w:r>
      <w:r w:rsidRPr="00E47204">
        <w:rPr>
          <w:rFonts w:ascii="Verdana" w:hAnsi="Verdana" w:cs="Verdana"/>
          <w:b/>
          <w:bCs/>
          <w:sz w:val="24"/>
          <w:szCs w:val="24"/>
        </w:rPr>
        <w:t xml:space="preserve"> June Price-Humphrey</w:t>
      </w:r>
    </w:p>
    <w:p w:rsidR="007631A1" w:rsidRPr="00E47204" w:rsidRDefault="007631A1" w:rsidP="007631A1">
      <w:pPr>
        <w:spacing w:line="360" w:lineRule="auto"/>
        <w:rPr>
          <w:rFonts w:ascii="Verdana" w:hAnsi="Verdana" w:cs="Verdana"/>
          <w:b/>
          <w:bCs/>
          <w:sz w:val="24"/>
          <w:szCs w:val="24"/>
        </w:rPr>
      </w:pPr>
      <w:r>
        <w:rPr>
          <w:rFonts w:ascii="Verdana" w:hAnsi="Verdana" w:cs="Verdana"/>
          <w:b/>
          <w:bCs/>
          <w:sz w:val="24"/>
          <w:szCs w:val="24"/>
        </w:rPr>
        <w:t>June</w:t>
      </w:r>
      <w:r w:rsidRPr="00E47204">
        <w:rPr>
          <w:rFonts w:ascii="Verdana" w:hAnsi="Verdana" w:cs="Verdana"/>
          <w:b/>
          <w:bCs/>
          <w:sz w:val="24"/>
          <w:szCs w:val="24"/>
        </w:rPr>
        <w:t xml:space="preserve"> 2015</w:t>
      </w:r>
    </w:p>
    <w:p w:rsidR="007631A1" w:rsidRPr="00E47204" w:rsidRDefault="007631A1" w:rsidP="007631A1">
      <w:pPr>
        <w:spacing w:line="360" w:lineRule="auto"/>
        <w:rPr>
          <w:rFonts w:ascii="Verdana" w:hAnsi="Verdana" w:cs="Verdana"/>
          <w:b/>
          <w:bCs/>
          <w:sz w:val="24"/>
          <w:szCs w:val="24"/>
        </w:rPr>
      </w:pPr>
      <w:r w:rsidRPr="00E47204">
        <w:rPr>
          <w:rFonts w:ascii="Verdana" w:hAnsi="Verdana" w:cs="Verdana"/>
          <w:b/>
          <w:bCs/>
          <w:sz w:val="24"/>
          <w:szCs w:val="24"/>
        </w:rPr>
        <w:t xml:space="preserve">Module </w:t>
      </w:r>
      <w:r>
        <w:rPr>
          <w:rFonts w:ascii="Verdana" w:hAnsi="Verdana" w:cs="Verdana"/>
          <w:b/>
          <w:bCs/>
          <w:sz w:val="24"/>
          <w:szCs w:val="24"/>
        </w:rPr>
        <w:t>9</w:t>
      </w:r>
      <w:r w:rsidRPr="00E47204">
        <w:rPr>
          <w:rFonts w:ascii="Verdana" w:hAnsi="Verdana" w:cs="Verdana"/>
          <w:b/>
          <w:bCs/>
          <w:sz w:val="24"/>
          <w:szCs w:val="24"/>
        </w:rPr>
        <w:t xml:space="preserve"> </w:t>
      </w:r>
    </w:p>
    <w:p w:rsidR="007631A1" w:rsidRDefault="007631A1" w:rsidP="007631A1">
      <w:pPr>
        <w:spacing w:line="360" w:lineRule="auto"/>
        <w:rPr>
          <w:rFonts w:ascii="Verdana" w:hAnsi="Verdana" w:cs="Verdana"/>
          <w:b/>
          <w:bCs/>
        </w:rPr>
      </w:pPr>
    </w:p>
    <w:p w:rsidR="007631A1" w:rsidRPr="007631A1" w:rsidRDefault="007631A1" w:rsidP="007631A1">
      <w:pPr>
        <w:spacing w:line="360" w:lineRule="auto"/>
        <w:rPr>
          <w:rFonts w:ascii="Verdana" w:hAnsi="Verdana"/>
          <w:b/>
          <w:bCs/>
          <w:sz w:val="24"/>
          <w:szCs w:val="24"/>
          <w:u w:val="single"/>
        </w:rPr>
      </w:pPr>
      <w:r w:rsidRPr="007631A1">
        <w:rPr>
          <w:rFonts w:ascii="Verdana" w:hAnsi="Verdana"/>
          <w:b/>
          <w:bCs/>
          <w:sz w:val="24"/>
          <w:szCs w:val="24"/>
          <w:u w:val="single"/>
        </w:rPr>
        <w:t>Rights of persons with mental disorders in the community</w:t>
      </w:r>
    </w:p>
    <w:p w:rsidR="004B4914" w:rsidRDefault="004B4914"/>
    <w:p w:rsidR="004B4914" w:rsidRPr="004954FF" w:rsidRDefault="004B4914" w:rsidP="00266E0F">
      <w:pPr>
        <w:spacing w:line="360" w:lineRule="auto"/>
        <w:rPr>
          <w:b/>
          <w:sz w:val="24"/>
          <w:szCs w:val="24"/>
        </w:rPr>
      </w:pPr>
      <w:r w:rsidRPr="004954FF">
        <w:rPr>
          <w:b/>
          <w:sz w:val="24"/>
          <w:szCs w:val="24"/>
        </w:rPr>
        <w:t xml:space="preserve">Executive Summary </w:t>
      </w:r>
    </w:p>
    <w:p w:rsidR="004954FF" w:rsidRDefault="00B00D68" w:rsidP="004954FF">
      <w:pPr>
        <w:spacing w:line="360" w:lineRule="auto"/>
        <w:rPr>
          <w:sz w:val="24"/>
          <w:szCs w:val="24"/>
        </w:rPr>
      </w:pPr>
      <w:r>
        <w:rPr>
          <w:sz w:val="24"/>
          <w:szCs w:val="24"/>
        </w:rPr>
        <w:t xml:space="preserve">Governments are responsible for </w:t>
      </w:r>
      <w:r w:rsidR="004954FF">
        <w:rPr>
          <w:sz w:val="24"/>
          <w:szCs w:val="24"/>
        </w:rPr>
        <w:t xml:space="preserve">overseeing </w:t>
      </w:r>
      <w:r>
        <w:rPr>
          <w:sz w:val="24"/>
          <w:szCs w:val="24"/>
        </w:rPr>
        <w:t xml:space="preserve">the </w:t>
      </w:r>
      <w:r w:rsidR="00150358">
        <w:rPr>
          <w:sz w:val="24"/>
          <w:szCs w:val="24"/>
        </w:rPr>
        <w:t xml:space="preserve">provision of </w:t>
      </w:r>
      <w:r>
        <w:rPr>
          <w:sz w:val="24"/>
          <w:szCs w:val="24"/>
        </w:rPr>
        <w:t>health</w:t>
      </w:r>
      <w:r w:rsidR="00150358">
        <w:rPr>
          <w:sz w:val="24"/>
          <w:szCs w:val="24"/>
        </w:rPr>
        <w:t xml:space="preserve"> care</w:t>
      </w:r>
      <w:r>
        <w:rPr>
          <w:sz w:val="24"/>
          <w:szCs w:val="24"/>
        </w:rPr>
        <w:t>, including mental health</w:t>
      </w:r>
      <w:r w:rsidR="00AB29C0">
        <w:rPr>
          <w:sz w:val="24"/>
          <w:szCs w:val="24"/>
        </w:rPr>
        <w:t xml:space="preserve"> care</w:t>
      </w:r>
      <w:r>
        <w:rPr>
          <w:sz w:val="24"/>
          <w:szCs w:val="24"/>
        </w:rPr>
        <w:t xml:space="preserve">, </w:t>
      </w:r>
      <w:r w:rsidR="00150358">
        <w:rPr>
          <w:sz w:val="24"/>
          <w:szCs w:val="24"/>
        </w:rPr>
        <w:t>for</w:t>
      </w:r>
      <w:r>
        <w:rPr>
          <w:sz w:val="24"/>
          <w:szCs w:val="24"/>
        </w:rPr>
        <w:t xml:space="preserve"> its </w:t>
      </w:r>
      <w:r w:rsidR="00AB29C0">
        <w:rPr>
          <w:sz w:val="24"/>
          <w:szCs w:val="24"/>
        </w:rPr>
        <w:t>population</w:t>
      </w:r>
      <w:r w:rsidR="00D943F2">
        <w:rPr>
          <w:sz w:val="24"/>
          <w:szCs w:val="24"/>
        </w:rPr>
        <w:t xml:space="preserve"> </w:t>
      </w:r>
      <w:r w:rsidR="00D943F2" w:rsidRPr="0069023C">
        <w:rPr>
          <w:sz w:val="24"/>
          <w:szCs w:val="24"/>
          <w:vertAlign w:val="superscript"/>
        </w:rPr>
        <w:t>(1)</w:t>
      </w:r>
      <w:r>
        <w:rPr>
          <w:sz w:val="24"/>
          <w:szCs w:val="24"/>
        </w:rPr>
        <w:t xml:space="preserve">. Having ratified the United Nations Convention on the Rights of Persons with Disabilities (CRPD) close examination of the national </w:t>
      </w:r>
      <w:r w:rsidR="004954FF">
        <w:rPr>
          <w:sz w:val="24"/>
          <w:szCs w:val="24"/>
        </w:rPr>
        <w:t>laws</w:t>
      </w:r>
      <w:r>
        <w:rPr>
          <w:sz w:val="24"/>
          <w:szCs w:val="24"/>
        </w:rPr>
        <w:t xml:space="preserve"> and accompanying rules and policy documents show that </w:t>
      </w:r>
      <w:r w:rsidR="006B54BB">
        <w:rPr>
          <w:sz w:val="24"/>
          <w:szCs w:val="24"/>
        </w:rPr>
        <w:t>some</w:t>
      </w:r>
      <w:r>
        <w:rPr>
          <w:sz w:val="24"/>
          <w:szCs w:val="24"/>
        </w:rPr>
        <w:t xml:space="preserve"> are in contravention </w:t>
      </w:r>
      <w:r w:rsidR="00454CB4">
        <w:rPr>
          <w:sz w:val="24"/>
          <w:szCs w:val="24"/>
        </w:rPr>
        <w:t>with</w:t>
      </w:r>
      <w:r>
        <w:rPr>
          <w:sz w:val="24"/>
          <w:szCs w:val="24"/>
        </w:rPr>
        <w:t xml:space="preserve"> international legislation.</w:t>
      </w:r>
      <w:r w:rsidR="004954FF">
        <w:rPr>
          <w:sz w:val="24"/>
          <w:szCs w:val="24"/>
        </w:rPr>
        <w:t xml:space="preserve"> </w:t>
      </w:r>
      <w:r w:rsidR="00735F64">
        <w:rPr>
          <w:sz w:val="24"/>
          <w:szCs w:val="24"/>
        </w:rPr>
        <w:t>Most glaring is the limitation to the right to legal capacity</w:t>
      </w:r>
      <w:r w:rsidR="00150358">
        <w:rPr>
          <w:sz w:val="24"/>
          <w:szCs w:val="24"/>
        </w:rPr>
        <w:t xml:space="preserve"> for persons with mental disabilities in the form of trustees</w:t>
      </w:r>
      <w:r w:rsidR="00735F64">
        <w:rPr>
          <w:sz w:val="24"/>
          <w:szCs w:val="24"/>
        </w:rPr>
        <w:t xml:space="preserve">. </w:t>
      </w:r>
      <w:r w:rsidR="00150358">
        <w:rPr>
          <w:sz w:val="24"/>
          <w:szCs w:val="24"/>
        </w:rPr>
        <w:t>Processes</w:t>
      </w:r>
      <w:r w:rsidR="00735F64">
        <w:rPr>
          <w:sz w:val="24"/>
          <w:szCs w:val="24"/>
        </w:rPr>
        <w:t xml:space="preserve"> which provide </w:t>
      </w:r>
      <w:r w:rsidR="00150358">
        <w:rPr>
          <w:sz w:val="24"/>
          <w:szCs w:val="24"/>
        </w:rPr>
        <w:t>assis</w:t>
      </w:r>
      <w:r w:rsidR="0076429F">
        <w:rPr>
          <w:sz w:val="24"/>
          <w:szCs w:val="24"/>
        </w:rPr>
        <w:t>tance in</w:t>
      </w:r>
      <w:r w:rsidR="00150358">
        <w:rPr>
          <w:sz w:val="24"/>
          <w:szCs w:val="24"/>
        </w:rPr>
        <w:t xml:space="preserve"> decision-making</w:t>
      </w:r>
      <w:r w:rsidR="0076429F">
        <w:rPr>
          <w:sz w:val="24"/>
          <w:szCs w:val="24"/>
        </w:rPr>
        <w:t xml:space="preserve"> capacity</w:t>
      </w:r>
      <w:r w:rsidR="00150358">
        <w:rPr>
          <w:sz w:val="24"/>
          <w:szCs w:val="24"/>
        </w:rPr>
        <w:t xml:space="preserve"> are recommended rather than </w:t>
      </w:r>
      <w:r w:rsidR="0076429F">
        <w:rPr>
          <w:sz w:val="24"/>
          <w:szCs w:val="24"/>
        </w:rPr>
        <w:t>guardianship</w:t>
      </w:r>
      <w:r w:rsidR="00150358">
        <w:rPr>
          <w:sz w:val="24"/>
          <w:szCs w:val="24"/>
        </w:rPr>
        <w:t xml:space="preserve">. Consultation with civil society as mandated by the CRPD would be one of the preliminary steps which illuminates the current status quo. </w:t>
      </w:r>
      <w:r w:rsidR="004954FF">
        <w:rPr>
          <w:sz w:val="24"/>
          <w:szCs w:val="24"/>
        </w:rPr>
        <w:t xml:space="preserve">Effective </w:t>
      </w:r>
      <w:r w:rsidR="003E6156">
        <w:rPr>
          <w:sz w:val="24"/>
          <w:szCs w:val="24"/>
        </w:rPr>
        <w:t xml:space="preserve">training modules </w:t>
      </w:r>
      <w:r w:rsidR="004954FF">
        <w:rPr>
          <w:sz w:val="24"/>
          <w:szCs w:val="24"/>
        </w:rPr>
        <w:t>exist for the progressive realization and implementation of the CRPD</w:t>
      </w:r>
      <w:r w:rsidR="00D943F2">
        <w:rPr>
          <w:sz w:val="24"/>
          <w:szCs w:val="24"/>
        </w:rPr>
        <w:t xml:space="preserve"> </w:t>
      </w:r>
      <w:r w:rsidR="009B0993" w:rsidRPr="0069023C">
        <w:rPr>
          <w:sz w:val="24"/>
          <w:szCs w:val="24"/>
          <w:vertAlign w:val="superscript"/>
        </w:rPr>
        <w:t>(2)</w:t>
      </w:r>
      <w:r w:rsidR="00735F64" w:rsidRPr="0069023C">
        <w:rPr>
          <w:sz w:val="24"/>
          <w:szCs w:val="24"/>
          <w:vertAlign w:val="superscript"/>
        </w:rPr>
        <w:t xml:space="preserve"> </w:t>
      </w:r>
      <w:r w:rsidR="00D943F2" w:rsidRPr="0069023C">
        <w:rPr>
          <w:sz w:val="24"/>
          <w:szCs w:val="24"/>
          <w:vertAlign w:val="superscript"/>
        </w:rPr>
        <w:t>(3)</w:t>
      </w:r>
      <w:r w:rsidR="004954FF">
        <w:rPr>
          <w:sz w:val="24"/>
          <w:szCs w:val="24"/>
        </w:rPr>
        <w:t xml:space="preserve"> which can be used to ultimately bring this nation into compliance with international standards and simultaneously improving the </w:t>
      </w:r>
      <w:r w:rsidR="00F825F2">
        <w:rPr>
          <w:sz w:val="24"/>
          <w:szCs w:val="24"/>
        </w:rPr>
        <w:t>well-being</w:t>
      </w:r>
      <w:r w:rsidR="004954FF">
        <w:rPr>
          <w:sz w:val="24"/>
          <w:szCs w:val="24"/>
        </w:rPr>
        <w:t xml:space="preserve"> of its citizens.</w:t>
      </w:r>
    </w:p>
    <w:p w:rsidR="00B00D68" w:rsidRDefault="00B00D68" w:rsidP="00266E0F">
      <w:pPr>
        <w:spacing w:line="360" w:lineRule="auto"/>
        <w:rPr>
          <w:sz w:val="24"/>
          <w:szCs w:val="24"/>
        </w:rPr>
      </w:pPr>
    </w:p>
    <w:p w:rsidR="004B4914" w:rsidRPr="00EC72F2" w:rsidRDefault="0089313B" w:rsidP="00266E0F">
      <w:pPr>
        <w:spacing w:line="360" w:lineRule="auto"/>
        <w:rPr>
          <w:b/>
          <w:sz w:val="24"/>
          <w:szCs w:val="24"/>
        </w:rPr>
      </w:pPr>
      <w:r>
        <w:rPr>
          <w:b/>
          <w:sz w:val="24"/>
          <w:szCs w:val="24"/>
        </w:rPr>
        <w:t>The Need f</w:t>
      </w:r>
      <w:r w:rsidR="00412D38">
        <w:rPr>
          <w:b/>
          <w:sz w:val="24"/>
          <w:szCs w:val="24"/>
        </w:rPr>
        <w:t>or C</w:t>
      </w:r>
      <w:r w:rsidR="00EC72F2" w:rsidRPr="00EC72F2">
        <w:rPr>
          <w:b/>
          <w:sz w:val="24"/>
          <w:szCs w:val="24"/>
        </w:rPr>
        <w:t xml:space="preserve">hange </w:t>
      </w:r>
    </w:p>
    <w:p w:rsidR="006E67EA" w:rsidRDefault="006325D4" w:rsidP="006E67EA">
      <w:pPr>
        <w:spacing w:line="360" w:lineRule="auto"/>
        <w:rPr>
          <w:sz w:val="24"/>
          <w:szCs w:val="24"/>
        </w:rPr>
      </w:pPr>
      <w:r>
        <w:rPr>
          <w:sz w:val="24"/>
          <w:szCs w:val="24"/>
        </w:rPr>
        <w:t>Barbados has ratified</w:t>
      </w:r>
      <w:r w:rsidR="00D37D3F">
        <w:rPr>
          <w:sz w:val="24"/>
          <w:szCs w:val="24"/>
        </w:rPr>
        <w:t xml:space="preserve"> the CRPD </w:t>
      </w:r>
      <w:r>
        <w:rPr>
          <w:sz w:val="24"/>
          <w:szCs w:val="24"/>
        </w:rPr>
        <w:t xml:space="preserve">and </w:t>
      </w:r>
      <w:r w:rsidR="00707ED5">
        <w:rPr>
          <w:sz w:val="24"/>
          <w:szCs w:val="24"/>
        </w:rPr>
        <w:t xml:space="preserve">is </w:t>
      </w:r>
      <w:r>
        <w:rPr>
          <w:sz w:val="24"/>
          <w:szCs w:val="24"/>
        </w:rPr>
        <w:t>therefore</w:t>
      </w:r>
      <w:r w:rsidR="00D37D3F">
        <w:rPr>
          <w:sz w:val="24"/>
          <w:szCs w:val="24"/>
        </w:rPr>
        <w:t xml:space="preserve"> obligated to</w:t>
      </w:r>
      <w:r w:rsidR="008E7A85">
        <w:rPr>
          <w:sz w:val="24"/>
          <w:szCs w:val="24"/>
        </w:rPr>
        <w:t xml:space="preserve"> address</w:t>
      </w:r>
      <w:r w:rsidR="00D37D3F">
        <w:rPr>
          <w:sz w:val="24"/>
          <w:szCs w:val="24"/>
        </w:rPr>
        <w:t xml:space="preserve"> the laws, policies and practices which are discriminatory towards persons with mental disabilities. </w:t>
      </w:r>
      <w:r w:rsidR="00EC72F2">
        <w:rPr>
          <w:sz w:val="24"/>
          <w:szCs w:val="24"/>
        </w:rPr>
        <w:t>There is</w:t>
      </w:r>
      <w:r w:rsidR="007F06AB">
        <w:rPr>
          <w:sz w:val="24"/>
          <w:szCs w:val="24"/>
        </w:rPr>
        <w:t xml:space="preserve"> </w:t>
      </w:r>
      <w:r w:rsidR="008E7A85">
        <w:rPr>
          <w:sz w:val="24"/>
          <w:szCs w:val="24"/>
        </w:rPr>
        <w:t>provi</w:t>
      </w:r>
      <w:r w:rsidR="00852405">
        <w:rPr>
          <w:sz w:val="24"/>
          <w:szCs w:val="24"/>
        </w:rPr>
        <w:t xml:space="preserve">sion </w:t>
      </w:r>
      <w:r w:rsidR="008E7A85">
        <w:rPr>
          <w:sz w:val="24"/>
          <w:szCs w:val="24"/>
        </w:rPr>
        <w:t>for</w:t>
      </w:r>
      <w:r w:rsidR="00852405">
        <w:rPr>
          <w:sz w:val="24"/>
          <w:szCs w:val="24"/>
        </w:rPr>
        <w:t xml:space="preserve"> guardianship within the </w:t>
      </w:r>
      <w:r w:rsidR="008E7A85">
        <w:rPr>
          <w:sz w:val="24"/>
          <w:szCs w:val="24"/>
        </w:rPr>
        <w:t xml:space="preserve">Mental Health </w:t>
      </w:r>
      <w:r w:rsidR="00852405">
        <w:rPr>
          <w:sz w:val="24"/>
          <w:szCs w:val="24"/>
        </w:rPr>
        <w:t>Act</w:t>
      </w:r>
      <w:r w:rsidR="00767621">
        <w:rPr>
          <w:sz w:val="24"/>
          <w:szCs w:val="24"/>
        </w:rPr>
        <w:t xml:space="preserve"> in the form of “trustees”</w:t>
      </w:r>
      <w:r w:rsidR="007E0A93">
        <w:rPr>
          <w:sz w:val="24"/>
          <w:szCs w:val="24"/>
        </w:rPr>
        <w:t xml:space="preserve">, and in the absence of other relevant legislation this section is applied to </w:t>
      </w:r>
      <w:r w:rsidR="00B00D68">
        <w:rPr>
          <w:sz w:val="24"/>
          <w:szCs w:val="24"/>
        </w:rPr>
        <w:t xml:space="preserve">both </w:t>
      </w:r>
      <w:r w:rsidR="007E0A93">
        <w:rPr>
          <w:sz w:val="24"/>
          <w:szCs w:val="24"/>
        </w:rPr>
        <w:t>community and hospitalized patients</w:t>
      </w:r>
      <w:r w:rsidR="008E7A85">
        <w:rPr>
          <w:sz w:val="24"/>
          <w:szCs w:val="24"/>
        </w:rPr>
        <w:t xml:space="preserve"> </w:t>
      </w:r>
      <w:r w:rsidR="008E7A85" w:rsidRPr="0069023C">
        <w:rPr>
          <w:sz w:val="24"/>
          <w:szCs w:val="24"/>
          <w:vertAlign w:val="superscript"/>
        </w:rPr>
        <w:t>(4</w:t>
      </w:r>
      <w:r w:rsidR="00FC0D6E" w:rsidRPr="0069023C">
        <w:rPr>
          <w:sz w:val="24"/>
          <w:szCs w:val="24"/>
          <w:vertAlign w:val="superscript"/>
        </w:rPr>
        <w:t>)</w:t>
      </w:r>
      <w:r w:rsidR="00852405">
        <w:rPr>
          <w:sz w:val="24"/>
          <w:szCs w:val="24"/>
        </w:rPr>
        <w:t>. It requir</w:t>
      </w:r>
      <w:r w:rsidR="007E0A93">
        <w:rPr>
          <w:sz w:val="24"/>
          <w:szCs w:val="24"/>
        </w:rPr>
        <w:t xml:space="preserve">es </w:t>
      </w:r>
      <w:r w:rsidR="00852405">
        <w:rPr>
          <w:sz w:val="24"/>
          <w:szCs w:val="24"/>
        </w:rPr>
        <w:t>medical evidence</w:t>
      </w:r>
      <w:r w:rsidR="008E7A85">
        <w:rPr>
          <w:sz w:val="24"/>
          <w:szCs w:val="24"/>
        </w:rPr>
        <w:t xml:space="preserve"> </w:t>
      </w:r>
      <w:r w:rsidR="008E7A85" w:rsidRPr="0069023C">
        <w:rPr>
          <w:sz w:val="24"/>
          <w:szCs w:val="24"/>
          <w:vertAlign w:val="superscript"/>
        </w:rPr>
        <w:t>(5</w:t>
      </w:r>
      <w:r w:rsidR="008E6A00" w:rsidRPr="0069023C">
        <w:rPr>
          <w:sz w:val="24"/>
          <w:szCs w:val="24"/>
          <w:vertAlign w:val="superscript"/>
        </w:rPr>
        <w:t>)</w:t>
      </w:r>
      <w:r w:rsidR="00852405">
        <w:rPr>
          <w:sz w:val="24"/>
          <w:szCs w:val="24"/>
        </w:rPr>
        <w:t xml:space="preserve"> prior to </w:t>
      </w:r>
      <w:r w:rsidR="007E0A93">
        <w:rPr>
          <w:sz w:val="24"/>
          <w:szCs w:val="24"/>
        </w:rPr>
        <w:t>determining incapacity</w:t>
      </w:r>
      <w:r w:rsidR="003D50B6">
        <w:rPr>
          <w:sz w:val="24"/>
          <w:szCs w:val="24"/>
        </w:rPr>
        <w:t xml:space="preserve">. Although </w:t>
      </w:r>
      <w:r w:rsidR="00F26040">
        <w:rPr>
          <w:sz w:val="24"/>
          <w:szCs w:val="24"/>
        </w:rPr>
        <w:t>the option exists</w:t>
      </w:r>
      <w:r w:rsidR="005247F2">
        <w:rPr>
          <w:sz w:val="24"/>
          <w:szCs w:val="24"/>
        </w:rPr>
        <w:t xml:space="preserve"> for court a</w:t>
      </w:r>
      <w:r w:rsidR="008E7A85">
        <w:rPr>
          <w:sz w:val="24"/>
          <w:szCs w:val="24"/>
        </w:rPr>
        <w:t xml:space="preserve">ppointed medical or legal evaluation </w:t>
      </w:r>
      <w:r w:rsidR="008E7A85" w:rsidRPr="0069023C">
        <w:rPr>
          <w:sz w:val="24"/>
          <w:szCs w:val="24"/>
          <w:vertAlign w:val="superscript"/>
        </w:rPr>
        <w:t>(6</w:t>
      </w:r>
      <w:r w:rsidR="003D50B6" w:rsidRPr="0069023C">
        <w:rPr>
          <w:sz w:val="24"/>
          <w:szCs w:val="24"/>
          <w:vertAlign w:val="superscript"/>
        </w:rPr>
        <w:t>)</w:t>
      </w:r>
      <w:r w:rsidR="003D50B6">
        <w:rPr>
          <w:sz w:val="24"/>
          <w:szCs w:val="24"/>
        </w:rPr>
        <w:t>,</w:t>
      </w:r>
      <w:r w:rsidR="00F26040">
        <w:rPr>
          <w:sz w:val="24"/>
          <w:szCs w:val="24"/>
        </w:rPr>
        <w:t xml:space="preserve"> the Act</w:t>
      </w:r>
      <w:r w:rsidR="00852405">
        <w:rPr>
          <w:sz w:val="24"/>
          <w:szCs w:val="24"/>
        </w:rPr>
        <w:t xml:space="preserve"> does not </w:t>
      </w:r>
      <w:r w:rsidR="007F06AB">
        <w:rPr>
          <w:sz w:val="24"/>
          <w:szCs w:val="24"/>
        </w:rPr>
        <w:t>insist on a tim</w:t>
      </w:r>
      <w:r w:rsidR="008E7A85">
        <w:rPr>
          <w:sz w:val="24"/>
          <w:szCs w:val="24"/>
        </w:rPr>
        <w:t>eframe for regular review</w:t>
      </w:r>
      <w:r w:rsidR="00DE0ADF">
        <w:rPr>
          <w:sz w:val="24"/>
          <w:szCs w:val="24"/>
        </w:rPr>
        <w:t xml:space="preserve">. </w:t>
      </w:r>
      <w:r w:rsidR="006F71CE">
        <w:rPr>
          <w:sz w:val="24"/>
          <w:szCs w:val="24"/>
        </w:rPr>
        <w:t xml:space="preserve">It takes account of the “requirements of the patient” </w:t>
      </w:r>
      <w:r w:rsidR="006F71CE" w:rsidRPr="0069023C">
        <w:rPr>
          <w:sz w:val="24"/>
          <w:szCs w:val="24"/>
          <w:vertAlign w:val="superscript"/>
        </w:rPr>
        <w:t>(</w:t>
      </w:r>
      <w:r w:rsidR="008E7A85" w:rsidRPr="0069023C">
        <w:rPr>
          <w:sz w:val="24"/>
          <w:szCs w:val="24"/>
          <w:vertAlign w:val="superscript"/>
        </w:rPr>
        <w:t>7</w:t>
      </w:r>
      <w:r w:rsidR="006F71CE" w:rsidRPr="0069023C">
        <w:rPr>
          <w:sz w:val="24"/>
          <w:szCs w:val="24"/>
          <w:vertAlign w:val="superscript"/>
        </w:rPr>
        <w:t>)</w:t>
      </w:r>
      <w:r w:rsidR="006F71CE">
        <w:rPr>
          <w:sz w:val="24"/>
          <w:szCs w:val="24"/>
        </w:rPr>
        <w:t xml:space="preserve">, but not the will or preferences of such persons as itemized in the CRPD </w:t>
      </w:r>
      <w:r w:rsidR="006F71CE" w:rsidRPr="0069023C">
        <w:rPr>
          <w:sz w:val="24"/>
          <w:szCs w:val="24"/>
          <w:vertAlign w:val="superscript"/>
        </w:rPr>
        <w:t>(</w:t>
      </w:r>
      <w:r w:rsidR="008E7A85" w:rsidRPr="0069023C">
        <w:rPr>
          <w:sz w:val="24"/>
          <w:szCs w:val="24"/>
          <w:vertAlign w:val="superscript"/>
        </w:rPr>
        <w:t>8</w:t>
      </w:r>
      <w:r w:rsidR="006F71CE" w:rsidRPr="0069023C">
        <w:rPr>
          <w:sz w:val="24"/>
          <w:szCs w:val="24"/>
          <w:vertAlign w:val="superscript"/>
        </w:rPr>
        <w:t>)</w:t>
      </w:r>
      <w:r w:rsidR="006F71CE">
        <w:rPr>
          <w:sz w:val="24"/>
          <w:szCs w:val="24"/>
        </w:rPr>
        <w:t>.</w:t>
      </w:r>
      <w:r w:rsidR="00EE1491">
        <w:rPr>
          <w:sz w:val="24"/>
          <w:szCs w:val="24"/>
        </w:rPr>
        <w:t xml:space="preserve"> </w:t>
      </w:r>
      <w:r w:rsidR="004A35CC">
        <w:rPr>
          <w:sz w:val="24"/>
          <w:szCs w:val="24"/>
        </w:rPr>
        <w:t>Although trustee</w:t>
      </w:r>
      <w:r w:rsidR="00EE1491">
        <w:rPr>
          <w:sz w:val="24"/>
          <w:szCs w:val="24"/>
        </w:rPr>
        <w:t>ship</w:t>
      </w:r>
      <w:r w:rsidR="007F06AB">
        <w:rPr>
          <w:sz w:val="24"/>
          <w:szCs w:val="24"/>
        </w:rPr>
        <w:t xml:space="preserve"> can be abolished “by death or recovery”</w:t>
      </w:r>
      <w:r w:rsidR="008E7A85">
        <w:rPr>
          <w:sz w:val="24"/>
          <w:szCs w:val="24"/>
        </w:rPr>
        <w:t xml:space="preserve"> </w:t>
      </w:r>
      <w:r w:rsidR="008E7A85" w:rsidRPr="0069023C">
        <w:rPr>
          <w:sz w:val="24"/>
          <w:szCs w:val="24"/>
          <w:vertAlign w:val="superscript"/>
        </w:rPr>
        <w:t>(9</w:t>
      </w:r>
      <w:r w:rsidR="0004660D" w:rsidRPr="0069023C">
        <w:rPr>
          <w:sz w:val="24"/>
          <w:szCs w:val="24"/>
          <w:vertAlign w:val="superscript"/>
        </w:rPr>
        <w:t>)</w:t>
      </w:r>
      <w:r w:rsidR="00EE1491">
        <w:rPr>
          <w:sz w:val="24"/>
          <w:szCs w:val="24"/>
        </w:rPr>
        <w:t>; the law does not establish the extent of trusteeship nor monitoring for</w:t>
      </w:r>
      <w:r w:rsidR="00B34CC4">
        <w:rPr>
          <w:sz w:val="24"/>
          <w:szCs w:val="24"/>
        </w:rPr>
        <w:t xml:space="preserve"> “recovery”</w:t>
      </w:r>
      <w:r w:rsidR="008E7A85">
        <w:rPr>
          <w:sz w:val="24"/>
          <w:szCs w:val="24"/>
        </w:rPr>
        <w:t xml:space="preserve"> </w:t>
      </w:r>
      <w:r w:rsidR="008E7A85" w:rsidRPr="0069023C">
        <w:rPr>
          <w:sz w:val="24"/>
          <w:szCs w:val="24"/>
          <w:vertAlign w:val="superscript"/>
        </w:rPr>
        <w:lastRenderedPageBreak/>
        <w:t>(10</w:t>
      </w:r>
      <w:r w:rsidR="00EE1491" w:rsidRPr="0069023C">
        <w:rPr>
          <w:sz w:val="24"/>
          <w:szCs w:val="24"/>
          <w:vertAlign w:val="superscript"/>
        </w:rPr>
        <w:t>)</w:t>
      </w:r>
      <w:r w:rsidR="00EE1491">
        <w:rPr>
          <w:sz w:val="24"/>
          <w:szCs w:val="24"/>
        </w:rPr>
        <w:t>.</w:t>
      </w:r>
      <w:r w:rsidR="00B34CC4">
        <w:rPr>
          <w:sz w:val="24"/>
          <w:szCs w:val="24"/>
        </w:rPr>
        <w:t xml:space="preserve"> </w:t>
      </w:r>
      <w:r w:rsidR="007F06AB">
        <w:rPr>
          <w:sz w:val="24"/>
          <w:szCs w:val="24"/>
        </w:rPr>
        <w:t>It</w:t>
      </w:r>
      <w:r w:rsidR="00852405">
        <w:rPr>
          <w:sz w:val="24"/>
          <w:szCs w:val="24"/>
        </w:rPr>
        <w:t xml:space="preserve"> painstakingly itemize</w:t>
      </w:r>
      <w:r w:rsidR="007F06AB">
        <w:rPr>
          <w:sz w:val="24"/>
          <w:szCs w:val="24"/>
        </w:rPr>
        <w:t>s</w:t>
      </w:r>
      <w:r w:rsidR="00852405">
        <w:rPr>
          <w:sz w:val="24"/>
          <w:szCs w:val="24"/>
        </w:rPr>
        <w:t xml:space="preserve"> the ways in which the court may act on the behalf of the pa</w:t>
      </w:r>
      <w:r w:rsidR="002E4551">
        <w:rPr>
          <w:sz w:val="24"/>
          <w:szCs w:val="24"/>
        </w:rPr>
        <w:t xml:space="preserve">tient or direct others to do so, </w:t>
      </w:r>
      <w:r w:rsidR="00F26040">
        <w:rPr>
          <w:sz w:val="24"/>
          <w:szCs w:val="24"/>
        </w:rPr>
        <w:t>with</w:t>
      </w:r>
      <w:r w:rsidR="00AA2187">
        <w:rPr>
          <w:sz w:val="24"/>
          <w:szCs w:val="24"/>
        </w:rPr>
        <w:t xml:space="preserve"> </w:t>
      </w:r>
      <w:r w:rsidR="002E4551">
        <w:rPr>
          <w:sz w:val="24"/>
          <w:szCs w:val="24"/>
        </w:rPr>
        <w:t>little advice</w:t>
      </w:r>
      <w:r w:rsidR="005247F2">
        <w:rPr>
          <w:sz w:val="24"/>
          <w:szCs w:val="24"/>
        </w:rPr>
        <w:t xml:space="preserve"> available</w:t>
      </w:r>
      <w:r w:rsidR="002E4551">
        <w:rPr>
          <w:sz w:val="24"/>
          <w:szCs w:val="24"/>
        </w:rPr>
        <w:t xml:space="preserve"> to the guardian on what they are prohibited from doing</w:t>
      </w:r>
      <w:r w:rsidR="00B34CC4">
        <w:rPr>
          <w:sz w:val="24"/>
          <w:szCs w:val="24"/>
        </w:rPr>
        <w:t xml:space="preserve"> when</w:t>
      </w:r>
      <w:r w:rsidR="00DE0ADF">
        <w:rPr>
          <w:sz w:val="24"/>
          <w:szCs w:val="24"/>
        </w:rPr>
        <w:t xml:space="preserve"> carrying out their duties</w:t>
      </w:r>
      <w:r w:rsidR="006F71CE">
        <w:rPr>
          <w:sz w:val="24"/>
          <w:szCs w:val="24"/>
        </w:rPr>
        <w:t>, nor is there monitoring to prevent abuse</w:t>
      </w:r>
      <w:r w:rsidR="002E4551">
        <w:rPr>
          <w:sz w:val="24"/>
          <w:szCs w:val="24"/>
        </w:rPr>
        <w:t>. Patients notified of the proceedings are only given 7days to respond</w:t>
      </w:r>
      <w:r w:rsidR="00DE0ADF">
        <w:rPr>
          <w:sz w:val="24"/>
          <w:szCs w:val="24"/>
        </w:rPr>
        <w:t xml:space="preserve"> </w:t>
      </w:r>
      <w:r w:rsidR="00DE0ADF" w:rsidRPr="0069023C">
        <w:rPr>
          <w:sz w:val="24"/>
          <w:szCs w:val="24"/>
          <w:vertAlign w:val="superscript"/>
        </w:rPr>
        <w:t>(</w:t>
      </w:r>
      <w:r w:rsidR="005247F2" w:rsidRPr="0069023C">
        <w:rPr>
          <w:sz w:val="24"/>
          <w:szCs w:val="24"/>
          <w:vertAlign w:val="superscript"/>
        </w:rPr>
        <w:t>1</w:t>
      </w:r>
      <w:r w:rsidR="008E7A85" w:rsidRPr="0069023C">
        <w:rPr>
          <w:sz w:val="24"/>
          <w:szCs w:val="24"/>
          <w:vertAlign w:val="superscript"/>
        </w:rPr>
        <w:t>1</w:t>
      </w:r>
      <w:r w:rsidR="00DE0ADF" w:rsidRPr="0069023C">
        <w:rPr>
          <w:sz w:val="24"/>
          <w:szCs w:val="24"/>
          <w:vertAlign w:val="superscript"/>
        </w:rPr>
        <w:t>)</w:t>
      </w:r>
      <w:r w:rsidR="002E4551">
        <w:rPr>
          <w:sz w:val="24"/>
          <w:szCs w:val="24"/>
        </w:rPr>
        <w:t>.</w:t>
      </w:r>
      <w:r w:rsidR="00AA2187">
        <w:rPr>
          <w:sz w:val="24"/>
          <w:szCs w:val="24"/>
        </w:rPr>
        <w:t xml:space="preserve"> Although there is in law a</w:t>
      </w:r>
      <w:r w:rsidR="002258C6">
        <w:rPr>
          <w:sz w:val="24"/>
          <w:szCs w:val="24"/>
        </w:rPr>
        <w:t xml:space="preserve"> provision for a Mental H</w:t>
      </w:r>
      <w:r w:rsidR="00F26040">
        <w:rPr>
          <w:sz w:val="24"/>
          <w:szCs w:val="24"/>
        </w:rPr>
        <w:t xml:space="preserve">ealth </w:t>
      </w:r>
      <w:r w:rsidR="002258C6">
        <w:rPr>
          <w:sz w:val="24"/>
          <w:szCs w:val="24"/>
        </w:rPr>
        <w:t>Review B</w:t>
      </w:r>
      <w:r w:rsidR="00AA2187">
        <w:rPr>
          <w:sz w:val="24"/>
          <w:szCs w:val="24"/>
        </w:rPr>
        <w:t>oard</w:t>
      </w:r>
      <w:r w:rsidR="005247F2">
        <w:rPr>
          <w:sz w:val="24"/>
          <w:szCs w:val="24"/>
        </w:rPr>
        <w:t xml:space="preserve"> </w:t>
      </w:r>
      <w:r w:rsidR="005247F2" w:rsidRPr="0069023C">
        <w:rPr>
          <w:sz w:val="24"/>
          <w:szCs w:val="24"/>
          <w:vertAlign w:val="superscript"/>
        </w:rPr>
        <w:t>(1</w:t>
      </w:r>
      <w:r w:rsidR="008E7A85" w:rsidRPr="0069023C">
        <w:rPr>
          <w:sz w:val="24"/>
          <w:szCs w:val="24"/>
          <w:vertAlign w:val="superscript"/>
        </w:rPr>
        <w:t>2</w:t>
      </w:r>
      <w:r w:rsidR="00AA2187" w:rsidRPr="0069023C">
        <w:rPr>
          <w:sz w:val="24"/>
          <w:szCs w:val="24"/>
          <w:vertAlign w:val="superscript"/>
        </w:rPr>
        <w:t>)</w:t>
      </w:r>
      <w:r w:rsidR="00AA2187">
        <w:rPr>
          <w:sz w:val="24"/>
          <w:szCs w:val="24"/>
        </w:rPr>
        <w:t xml:space="preserve">, this is not utilized </w:t>
      </w:r>
      <w:r w:rsidR="00F26040">
        <w:rPr>
          <w:sz w:val="24"/>
          <w:szCs w:val="24"/>
        </w:rPr>
        <w:t>in practice</w:t>
      </w:r>
      <w:r w:rsidR="00AA2187">
        <w:rPr>
          <w:sz w:val="24"/>
          <w:szCs w:val="24"/>
        </w:rPr>
        <w:t xml:space="preserve">. </w:t>
      </w:r>
    </w:p>
    <w:p w:rsidR="004B4914" w:rsidRPr="00412D38" w:rsidRDefault="004B4914" w:rsidP="00266E0F">
      <w:pPr>
        <w:spacing w:line="360" w:lineRule="auto"/>
        <w:rPr>
          <w:b/>
          <w:sz w:val="24"/>
          <w:szCs w:val="24"/>
        </w:rPr>
      </w:pPr>
    </w:p>
    <w:p w:rsidR="004B4914" w:rsidRPr="00412D38" w:rsidRDefault="004B4914" w:rsidP="00266E0F">
      <w:pPr>
        <w:spacing w:line="360" w:lineRule="auto"/>
        <w:rPr>
          <w:b/>
          <w:sz w:val="24"/>
          <w:szCs w:val="24"/>
        </w:rPr>
      </w:pPr>
      <w:r w:rsidRPr="00412D38">
        <w:rPr>
          <w:b/>
          <w:sz w:val="24"/>
          <w:szCs w:val="24"/>
        </w:rPr>
        <w:t>Relevance of Internatio</w:t>
      </w:r>
      <w:r w:rsidR="00412D38" w:rsidRPr="00412D38">
        <w:rPr>
          <w:b/>
          <w:sz w:val="24"/>
          <w:szCs w:val="24"/>
        </w:rPr>
        <w:t xml:space="preserve">nal Human Rights Framework </w:t>
      </w:r>
    </w:p>
    <w:p w:rsidR="00E856A6" w:rsidRPr="00D13CB6" w:rsidRDefault="00871D63" w:rsidP="00266E0F">
      <w:pPr>
        <w:spacing w:line="360" w:lineRule="auto"/>
        <w:rPr>
          <w:sz w:val="24"/>
          <w:szCs w:val="24"/>
        </w:rPr>
      </w:pPr>
      <w:r>
        <w:rPr>
          <w:sz w:val="24"/>
          <w:szCs w:val="24"/>
        </w:rPr>
        <w:t xml:space="preserve">The Universal Declaration of Human Rights mandates the </w:t>
      </w:r>
      <w:r w:rsidR="0069023C">
        <w:rPr>
          <w:sz w:val="24"/>
          <w:szCs w:val="24"/>
        </w:rPr>
        <w:t xml:space="preserve">use of legal mechanisms in the </w:t>
      </w:r>
      <w:r>
        <w:rPr>
          <w:sz w:val="24"/>
          <w:szCs w:val="24"/>
        </w:rPr>
        <w:t>protection of human rights</w:t>
      </w:r>
      <w:r w:rsidR="003F6DB5">
        <w:rPr>
          <w:sz w:val="24"/>
          <w:szCs w:val="24"/>
        </w:rPr>
        <w:t xml:space="preserve"> </w:t>
      </w:r>
      <w:r w:rsidRPr="0069023C">
        <w:rPr>
          <w:sz w:val="24"/>
          <w:szCs w:val="24"/>
          <w:vertAlign w:val="superscript"/>
        </w:rPr>
        <w:t>(13)</w:t>
      </w:r>
      <w:r>
        <w:rPr>
          <w:sz w:val="24"/>
          <w:szCs w:val="24"/>
        </w:rPr>
        <w:t>.</w:t>
      </w:r>
      <w:r w:rsidR="00E856A6">
        <w:rPr>
          <w:sz w:val="24"/>
          <w:szCs w:val="24"/>
        </w:rPr>
        <w:t xml:space="preserve"> This and other international human rights instruments propose standards </w:t>
      </w:r>
      <w:r w:rsidR="00A8670D">
        <w:rPr>
          <w:sz w:val="24"/>
          <w:szCs w:val="24"/>
        </w:rPr>
        <w:t xml:space="preserve">against </w:t>
      </w:r>
      <w:r w:rsidR="00E856A6">
        <w:rPr>
          <w:sz w:val="24"/>
          <w:szCs w:val="24"/>
        </w:rPr>
        <w:t xml:space="preserve">which all states </w:t>
      </w:r>
      <w:r w:rsidR="00A8670D">
        <w:rPr>
          <w:sz w:val="24"/>
          <w:szCs w:val="24"/>
        </w:rPr>
        <w:t>can be compared.</w:t>
      </w:r>
      <w:r>
        <w:rPr>
          <w:sz w:val="24"/>
          <w:szCs w:val="24"/>
        </w:rPr>
        <w:t xml:space="preserve"> </w:t>
      </w:r>
      <w:r w:rsidR="0069023C">
        <w:rPr>
          <w:sz w:val="24"/>
          <w:szCs w:val="24"/>
        </w:rPr>
        <w:t xml:space="preserve"> Human rights are inalienable in substance, and any limitations on the exercise of such rights (such as legal capacity) must be applicable to all persons without discrimination.</w:t>
      </w:r>
      <w:r w:rsidR="004E4409">
        <w:rPr>
          <w:sz w:val="24"/>
          <w:szCs w:val="24"/>
        </w:rPr>
        <w:t xml:space="preserve"> </w:t>
      </w:r>
      <w:r w:rsidR="00934C01">
        <w:rPr>
          <w:sz w:val="24"/>
          <w:szCs w:val="24"/>
        </w:rPr>
        <w:t xml:space="preserve"> </w:t>
      </w:r>
      <w:r w:rsidR="004E4409">
        <w:rPr>
          <w:sz w:val="24"/>
          <w:szCs w:val="24"/>
        </w:rPr>
        <w:t>T</w:t>
      </w:r>
      <w:r w:rsidR="00934C01">
        <w:rPr>
          <w:sz w:val="24"/>
          <w:szCs w:val="24"/>
        </w:rPr>
        <w:t xml:space="preserve">he </w:t>
      </w:r>
      <w:r w:rsidR="009848CE">
        <w:rPr>
          <w:sz w:val="24"/>
          <w:szCs w:val="24"/>
        </w:rPr>
        <w:t>CRPD</w:t>
      </w:r>
      <w:r w:rsidR="00AE2A32">
        <w:rPr>
          <w:sz w:val="24"/>
          <w:szCs w:val="24"/>
        </w:rPr>
        <w:t xml:space="preserve"> </w:t>
      </w:r>
      <w:r w:rsidR="00F26040">
        <w:rPr>
          <w:sz w:val="24"/>
          <w:szCs w:val="24"/>
        </w:rPr>
        <w:t xml:space="preserve"> </w:t>
      </w:r>
      <w:r w:rsidR="00AE2A32">
        <w:rPr>
          <w:sz w:val="24"/>
          <w:szCs w:val="24"/>
        </w:rPr>
        <w:t>establishes that r</w:t>
      </w:r>
      <w:r w:rsidR="00EC72F2">
        <w:rPr>
          <w:sz w:val="24"/>
          <w:szCs w:val="24"/>
        </w:rPr>
        <w:t>emoval of legal capacity based solely on the presence of a mental illness is discriminatory</w:t>
      </w:r>
      <w:r w:rsidR="004E4409">
        <w:rPr>
          <w:sz w:val="24"/>
          <w:szCs w:val="24"/>
          <w:vertAlign w:val="superscript"/>
        </w:rPr>
        <w:t>(14</w:t>
      </w:r>
      <w:r w:rsidR="004E4409" w:rsidRPr="0069023C">
        <w:rPr>
          <w:sz w:val="24"/>
          <w:szCs w:val="24"/>
          <w:vertAlign w:val="superscript"/>
        </w:rPr>
        <w:t>)</w:t>
      </w:r>
      <w:r w:rsidR="004E4409">
        <w:rPr>
          <w:sz w:val="24"/>
          <w:szCs w:val="24"/>
        </w:rPr>
        <w:t xml:space="preserve">, highlighting the barriers faced by the disabled community in exercising the basic right to recognition as a person before the law found in the International Bill of Human Rights </w:t>
      </w:r>
      <w:r w:rsidR="004E4409">
        <w:rPr>
          <w:sz w:val="24"/>
          <w:szCs w:val="24"/>
          <w:vertAlign w:val="superscript"/>
        </w:rPr>
        <w:t>(15)</w:t>
      </w:r>
      <w:r w:rsidR="00EC72F2">
        <w:rPr>
          <w:sz w:val="24"/>
          <w:szCs w:val="24"/>
        </w:rPr>
        <w:t xml:space="preserve">. </w:t>
      </w:r>
      <w:r w:rsidR="00AE2A32">
        <w:rPr>
          <w:sz w:val="24"/>
          <w:szCs w:val="24"/>
        </w:rPr>
        <w:t>It</w:t>
      </w:r>
      <w:r w:rsidR="00554025">
        <w:rPr>
          <w:sz w:val="24"/>
          <w:szCs w:val="24"/>
        </w:rPr>
        <w:t xml:space="preserve"> goes on to place the responsibility </w:t>
      </w:r>
      <w:r w:rsidR="001A560F">
        <w:rPr>
          <w:sz w:val="24"/>
          <w:szCs w:val="24"/>
        </w:rPr>
        <w:t>on governments</w:t>
      </w:r>
      <w:r w:rsidR="00554025">
        <w:rPr>
          <w:sz w:val="24"/>
          <w:szCs w:val="24"/>
        </w:rPr>
        <w:t xml:space="preserve"> to provide mechanisms for supported decision making</w:t>
      </w:r>
      <w:r>
        <w:rPr>
          <w:sz w:val="24"/>
          <w:szCs w:val="24"/>
        </w:rPr>
        <w:t xml:space="preserve"> </w:t>
      </w:r>
      <w:r w:rsidRPr="0069023C">
        <w:rPr>
          <w:sz w:val="24"/>
          <w:szCs w:val="24"/>
          <w:vertAlign w:val="superscript"/>
        </w:rPr>
        <w:t>(1</w:t>
      </w:r>
      <w:r w:rsidR="004E4409">
        <w:rPr>
          <w:sz w:val="24"/>
          <w:szCs w:val="24"/>
          <w:vertAlign w:val="superscript"/>
        </w:rPr>
        <w:t>6</w:t>
      </w:r>
      <w:r w:rsidR="00C3478C" w:rsidRPr="0069023C">
        <w:rPr>
          <w:sz w:val="24"/>
          <w:szCs w:val="24"/>
          <w:vertAlign w:val="superscript"/>
        </w:rPr>
        <w:t>)</w:t>
      </w:r>
      <w:r w:rsidR="0069023C">
        <w:rPr>
          <w:sz w:val="24"/>
          <w:szCs w:val="24"/>
          <w:vertAlign w:val="superscript"/>
        </w:rPr>
        <w:t xml:space="preserve"> </w:t>
      </w:r>
      <w:r w:rsidR="0089313B">
        <w:rPr>
          <w:sz w:val="24"/>
          <w:szCs w:val="24"/>
        </w:rPr>
        <w:t>to</w:t>
      </w:r>
      <w:r w:rsidR="00554025">
        <w:rPr>
          <w:sz w:val="24"/>
          <w:szCs w:val="24"/>
        </w:rPr>
        <w:t xml:space="preserve"> </w:t>
      </w:r>
      <w:r w:rsidR="00452C0A">
        <w:rPr>
          <w:sz w:val="24"/>
          <w:szCs w:val="24"/>
        </w:rPr>
        <w:t xml:space="preserve">persons with disabilities who require it, in </w:t>
      </w:r>
      <w:r w:rsidR="00554025">
        <w:rPr>
          <w:sz w:val="24"/>
          <w:szCs w:val="24"/>
        </w:rPr>
        <w:t>contrast to previous models of guardianship</w:t>
      </w:r>
      <w:r w:rsidR="002E4551">
        <w:rPr>
          <w:sz w:val="24"/>
          <w:szCs w:val="24"/>
        </w:rPr>
        <w:t xml:space="preserve"> which utilize substituted decision makers</w:t>
      </w:r>
      <w:r w:rsidR="001A560F">
        <w:rPr>
          <w:sz w:val="24"/>
          <w:szCs w:val="24"/>
        </w:rPr>
        <w:t xml:space="preserve"> while denying persons with mental illnesses the right to legal capacity</w:t>
      </w:r>
      <w:r w:rsidR="00554025">
        <w:rPr>
          <w:sz w:val="24"/>
          <w:szCs w:val="24"/>
        </w:rPr>
        <w:t xml:space="preserve">. </w:t>
      </w:r>
      <w:r w:rsidR="0069023C">
        <w:rPr>
          <w:sz w:val="24"/>
          <w:szCs w:val="24"/>
        </w:rPr>
        <w:t>Countries tha</w:t>
      </w:r>
      <w:r w:rsidR="00452C0A">
        <w:rPr>
          <w:sz w:val="24"/>
          <w:szCs w:val="24"/>
        </w:rPr>
        <w:t>t sign human rights instruments signal their willingness to respect, protect and promote the rights of its citizens</w:t>
      </w:r>
      <w:r w:rsidR="003F6DB5">
        <w:rPr>
          <w:sz w:val="24"/>
          <w:szCs w:val="24"/>
        </w:rPr>
        <w:t>.</w:t>
      </w:r>
      <w:r w:rsidR="0089313B">
        <w:rPr>
          <w:sz w:val="24"/>
          <w:szCs w:val="24"/>
        </w:rPr>
        <w:t xml:space="preserve"> </w:t>
      </w:r>
      <w:r w:rsidR="00ED26C6">
        <w:rPr>
          <w:sz w:val="24"/>
          <w:szCs w:val="24"/>
        </w:rPr>
        <w:t>The CRPD gives insight to the steps needed for implementation of basic human rights as it applies to those with disabilities</w:t>
      </w:r>
      <w:r w:rsidR="003F6DB5">
        <w:rPr>
          <w:sz w:val="24"/>
          <w:szCs w:val="24"/>
        </w:rPr>
        <w:t>;</w:t>
      </w:r>
      <w:r w:rsidR="00ED26C6">
        <w:rPr>
          <w:sz w:val="24"/>
          <w:szCs w:val="24"/>
        </w:rPr>
        <w:t xml:space="preserve"> </w:t>
      </w:r>
      <w:r w:rsidR="003F6DB5">
        <w:rPr>
          <w:sz w:val="24"/>
          <w:szCs w:val="24"/>
        </w:rPr>
        <w:t xml:space="preserve">via international cooperation </w:t>
      </w:r>
      <w:r w:rsidR="007A5E20">
        <w:rPr>
          <w:sz w:val="24"/>
          <w:szCs w:val="24"/>
        </w:rPr>
        <w:t>countries</w:t>
      </w:r>
      <w:r w:rsidR="003F6DB5">
        <w:rPr>
          <w:sz w:val="24"/>
          <w:szCs w:val="24"/>
        </w:rPr>
        <w:t xml:space="preserve"> may utilize the expertise available to evaluate their compliance, achieve progressive realization of these rights, and assist other countries in their own efforts</w:t>
      </w:r>
      <w:r w:rsidR="003F6DB5" w:rsidRPr="00D13CB6">
        <w:rPr>
          <w:sz w:val="24"/>
          <w:szCs w:val="24"/>
        </w:rPr>
        <w:t>.</w:t>
      </w:r>
    </w:p>
    <w:p w:rsidR="00E856A6" w:rsidRPr="00D13CB6" w:rsidRDefault="00E856A6" w:rsidP="00266E0F">
      <w:pPr>
        <w:spacing w:line="360" w:lineRule="auto"/>
        <w:rPr>
          <w:b/>
          <w:sz w:val="24"/>
          <w:szCs w:val="24"/>
        </w:rPr>
      </w:pPr>
    </w:p>
    <w:p w:rsidR="004B4914" w:rsidRPr="00D13CB6" w:rsidRDefault="00D13CB6" w:rsidP="00266E0F">
      <w:pPr>
        <w:spacing w:line="360" w:lineRule="auto"/>
        <w:rPr>
          <w:b/>
          <w:sz w:val="24"/>
          <w:szCs w:val="24"/>
        </w:rPr>
      </w:pPr>
      <w:r w:rsidRPr="00D13CB6">
        <w:rPr>
          <w:b/>
          <w:sz w:val="24"/>
          <w:szCs w:val="24"/>
        </w:rPr>
        <w:t>Recommendations for reform</w:t>
      </w:r>
    </w:p>
    <w:p w:rsidR="00A53C8A" w:rsidRDefault="00110161" w:rsidP="002E4551">
      <w:pPr>
        <w:spacing w:line="360" w:lineRule="auto"/>
        <w:rPr>
          <w:sz w:val="24"/>
          <w:szCs w:val="24"/>
        </w:rPr>
      </w:pPr>
      <w:r>
        <w:rPr>
          <w:sz w:val="24"/>
          <w:szCs w:val="24"/>
        </w:rPr>
        <w:t xml:space="preserve">The right </w:t>
      </w:r>
      <w:r w:rsidR="008955E6">
        <w:rPr>
          <w:sz w:val="24"/>
          <w:szCs w:val="24"/>
        </w:rPr>
        <w:t xml:space="preserve">to legal capacity confers to citizens both the right to </w:t>
      </w:r>
      <w:r w:rsidR="004E6ACD">
        <w:rPr>
          <w:sz w:val="24"/>
          <w:szCs w:val="24"/>
        </w:rPr>
        <w:t>be considered perso</w:t>
      </w:r>
      <w:r w:rsidR="00856644">
        <w:rPr>
          <w:sz w:val="24"/>
          <w:szCs w:val="24"/>
        </w:rPr>
        <w:t>ns before the law</w:t>
      </w:r>
      <w:r w:rsidR="004E6ACD">
        <w:rPr>
          <w:sz w:val="24"/>
          <w:szCs w:val="24"/>
        </w:rPr>
        <w:t xml:space="preserve"> </w:t>
      </w:r>
      <w:r w:rsidR="00856644">
        <w:rPr>
          <w:sz w:val="24"/>
          <w:szCs w:val="24"/>
        </w:rPr>
        <w:t xml:space="preserve">and </w:t>
      </w:r>
      <w:r w:rsidR="004E6ACD">
        <w:rPr>
          <w:sz w:val="24"/>
          <w:szCs w:val="24"/>
        </w:rPr>
        <w:t>the ability to exercise that right; trusteeships remove the ability to exercise t</w:t>
      </w:r>
      <w:r w:rsidR="00856644">
        <w:rPr>
          <w:sz w:val="24"/>
          <w:szCs w:val="24"/>
        </w:rPr>
        <w:t>he</w:t>
      </w:r>
      <w:r w:rsidR="004E6ACD">
        <w:rPr>
          <w:sz w:val="24"/>
          <w:szCs w:val="24"/>
        </w:rPr>
        <w:t xml:space="preserve"> right to legal capacity</w:t>
      </w:r>
      <w:r>
        <w:rPr>
          <w:sz w:val="24"/>
          <w:szCs w:val="24"/>
        </w:rPr>
        <w:t>.</w:t>
      </w:r>
      <w:r w:rsidR="004E6ACD">
        <w:rPr>
          <w:sz w:val="24"/>
          <w:szCs w:val="24"/>
        </w:rPr>
        <w:t xml:space="preserve"> </w:t>
      </w:r>
      <w:r>
        <w:rPr>
          <w:sz w:val="24"/>
          <w:szCs w:val="24"/>
        </w:rPr>
        <w:t xml:space="preserve"> </w:t>
      </w:r>
      <w:r w:rsidR="00464C9B">
        <w:rPr>
          <w:sz w:val="24"/>
          <w:szCs w:val="24"/>
        </w:rPr>
        <w:t xml:space="preserve">It is recommended that </w:t>
      </w:r>
      <w:r w:rsidR="00A53C8A">
        <w:rPr>
          <w:sz w:val="24"/>
          <w:szCs w:val="24"/>
        </w:rPr>
        <w:t xml:space="preserve">absolute removal of capacity should be abolished. </w:t>
      </w:r>
    </w:p>
    <w:p w:rsidR="00517AF0" w:rsidRDefault="00517AF0" w:rsidP="002E4551">
      <w:pPr>
        <w:spacing w:line="360" w:lineRule="auto"/>
        <w:rPr>
          <w:sz w:val="24"/>
          <w:szCs w:val="24"/>
        </w:rPr>
      </w:pPr>
    </w:p>
    <w:p w:rsidR="00517AF0" w:rsidRDefault="00517AF0" w:rsidP="002E4551">
      <w:pPr>
        <w:spacing w:line="360" w:lineRule="auto"/>
        <w:rPr>
          <w:sz w:val="24"/>
          <w:szCs w:val="24"/>
        </w:rPr>
      </w:pPr>
      <w:r>
        <w:rPr>
          <w:sz w:val="24"/>
          <w:szCs w:val="24"/>
        </w:rPr>
        <w:t xml:space="preserve">Any person for whom this right is to be limited must have legal </w:t>
      </w:r>
      <w:r w:rsidR="007279EA">
        <w:rPr>
          <w:sz w:val="24"/>
          <w:szCs w:val="24"/>
        </w:rPr>
        <w:t>representation</w:t>
      </w:r>
      <w:r w:rsidR="007279EA">
        <w:rPr>
          <w:sz w:val="24"/>
          <w:szCs w:val="24"/>
        </w:rPr>
        <w:t xml:space="preserve"> at all stages of the proceedings</w:t>
      </w:r>
      <w:r>
        <w:rPr>
          <w:sz w:val="24"/>
          <w:szCs w:val="24"/>
        </w:rPr>
        <w:t>, and therefore mechanisms to provide access to legal council must be established.</w:t>
      </w:r>
      <w:r w:rsidR="00BC4BFF">
        <w:rPr>
          <w:sz w:val="24"/>
          <w:szCs w:val="24"/>
        </w:rPr>
        <w:t xml:space="preserve"> </w:t>
      </w:r>
      <w:r w:rsidR="00BC4BFF">
        <w:rPr>
          <w:sz w:val="24"/>
          <w:szCs w:val="24"/>
        </w:rPr>
        <w:lastRenderedPageBreak/>
        <w:t xml:space="preserve">When notified of proceedings persons should be </w:t>
      </w:r>
      <w:r w:rsidR="00FE2970">
        <w:rPr>
          <w:sz w:val="24"/>
          <w:szCs w:val="24"/>
        </w:rPr>
        <w:t>informed</w:t>
      </w:r>
      <w:r w:rsidR="00BC4BFF">
        <w:rPr>
          <w:sz w:val="24"/>
          <w:szCs w:val="24"/>
        </w:rPr>
        <w:t xml:space="preserve"> that legal representation is required</w:t>
      </w:r>
      <w:r w:rsidR="001E7974">
        <w:rPr>
          <w:sz w:val="24"/>
          <w:szCs w:val="24"/>
        </w:rPr>
        <w:t>, and on the steps that will be performed, including the right to reply and/or object to the process</w:t>
      </w:r>
      <w:r w:rsidR="00BC4BFF">
        <w:rPr>
          <w:sz w:val="24"/>
          <w:szCs w:val="24"/>
        </w:rPr>
        <w:t>. It is also recommended that the time allotted to reply to the notification of hearing should be extended.</w:t>
      </w:r>
    </w:p>
    <w:p w:rsidR="00A53C8A" w:rsidRDefault="00A53C8A" w:rsidP="002E4551">
      <w:pPr>
        <w:spacing w:line="360" w:lineRule="auto"/>
        <w:rPr>
          <w:sz w:val="24"/>
          <w:szCs w:val="24"/>
        </w:rPr>
      </w:pPr>
    </w:p>
    <w:p w:rsidR="00A53C8A" w:rsidRDefault="00A53C8A" w:rsidP="002E4551">
      <w:pPr>
        <w:spacing w:line="360" w:lineRule="auto"/>
        <w:rPr>
          <w:sz w:val="24"/>
          <w:szCs w:val="24"/>
        </w:rPr>
      </w:pPr>
      <w:r>
        <w:rPr>
          <w:sz w:val="24"/>
          <w:szCs w:val="24"/>
        </w:rPr>
        <w:t xml:space="preserve">A determination regarding impairment of capacity </w:t>
      </w:r>
      <w:r w:rsidR="00464C9B">
        <w:rPr>
          <w:sz w:val="24"/>
          <w:szCs w:val="24"/>
        </w:rPr>
        <w:t xml:space="preserve">should </w:t>
      </w:r>
      <w:r>
        <w:rPr>
          <w:sz w:val="24"/>
          <w:szCs w:val="24"/>
        </w:rPr>
        <w:t xml:space="preserve">be investigated by </w:t>
      </w:r>
      <w:r w:rsidR="00464C9B">
        <w:rPr>
          <w:sz w:val="24"/>
          <w:szCs w:val="24"/>
        </w:rPr>
        <w:t>a multi-disciplinary</w:t>
      </w:r>
      <w:r w:rsidR="00017C80">
        <w:rPr>
          <w:sz w:val="24"/>
          <w:szCs w:val="24"/>
        </w:rPr>
        <w:t xml:space="preserve"> team</w:t>
      </w:r>
      <w:r w:rsidR="00464C9B">
        <w:rPr>
          <w:sz w:val="24"/>
          <w:szCs w:val="24"/>
        </w:rPr>
        <w:t xml:space="preserve"> </w:t>
      </w:r>
      <w:r>
        <w:rPr>
          <w:sz w:val="24"/>
          <w:szCs w:val="24"/>
        </w:rPr>
        <w:t xml:space="preserve">which includes a medical professional </w:t>
      </w:r>
      <w:r w:rsidR="00152676">
        <w:rPr>
          <w:sz w:val="24"/>
          <w:szCs w:val="24"/>
        </w:rPr>
        <w:t xml:space="preserve">(preferably </w:t>
      </w:r>
      <w:r>
        <w:rPr>
          <w:sz w:val="24"/>
          <w:szCs w:val="24"/>
        </w:rPr>
        <w:t>with mental health training</w:t>
      </w:r>
      <w:r w:rsidR="00152676">
        <w:rPr>
          <w:sz w:val="24"/>
          <w:szCs w:val="24"/>
        </w:rPr>
        <w:t>)</w:t>
      </w:r>
      <w:r>
        <w:rPr>
          <w:sz w:val="24"/>
          <w:szCs w:val="24"/>
        </w:rPr>
        <w:t>, lawyer,</w:t>
      </w:r>
      <w:r w:rsidR="00464C9B">
        <w:rPr>
          <w:sz w:val="24"/>
          <w:szCs w:val="24"/>
        </w:rPr>
        <w:t xml:space="preserve"> social workers and psychologists</w:t>
      </w:r>
      <w:r>
        <w:rPr>
          <w:sz w:val="24"/>
          <w:szCs w:val="24"/>
        </w:rPr>
        <w:t>.</w:t>
      </w:r>
      <w:r w:rsidR="007A5E20" w:rsidRPr="007A5E20">
        <w:rPr>
          <w:sz w:val="24"/>
          <w:szCs w:val="24"/>
        </w:rPr>
        <w:t xml:space="preserve"> </w:t>
      </w:r>
      <w:r>
        <w:rPr>
          <w:sz w:val="24"/>
          <w:szCs w:val="24"/>
        </w:rPr>
        <w:t>M</w:t>
      </w:r>
      <w:r w:rsidR="007A5E20">
        <w:rPr>
          <w:sz w:val="24"/>
          <w:szCs w:val="24"/>
        </w:rPr>
        <w:t>embers of the team should determine the extent to which an</w:t>
      </w:r>
      <w:r>
        <w:rPr>
          <w:sz w:val="24"/>
          <w:szCs w:val="24"/>
        </w:rPr>
        <w:t>y</w:t>
      </w:r>
      <w:r w:rsidR="007A5E20">
        <w:rPr>
          <w:sz w:val="24"/>
          <w:szCs w:val="24"/>
        </w:rPr>
        <w:t xml:space="preserve"> illness impairs the ability to exercise the right to capacity</w:t>
      </w:r>
      <w:r w:rsidR="00152676">
        <w:rPr>
          <w:sz w:val="24"/>
          <w:szCs w:val="24"/>
        </w:rPr>
        <w:t xml:space="preserve">. Any </w:t>
      </w:r>
      <w:r w:rsidR="00D50BC2">
        <w:rPr>
          <w:sz w:val="24"/>
          <w:szCs w:val="24"/>
        </w:rPr>
        <w:t>deliberation in</w:t>
      </w:r>
      <w:r w:rsidR="00152676">
        <w:rPr>
          <w:sz w:val="24"/>
          <w:szCs w:val="24"/>
        </w:rPr>
        <w:t xml:space="preserve"> the proceedings should be limited to the extent to which capacity is impaired</w:t>
      </w:r>
      <w:r w:rsidR="00D50BC2">
        <w:rPr>
          <w:sz w:val="24"/>
          <w:szCs w:val="24"/>
        </w:rPr>
        <w:t xml:space="preserve"> only</w:t>
      </w:r>
      <w:r w:rsidR="009A7E2C">
        <w:rPr>
          <w:sz w:val="24"/>
          <w:szCs w:val="24"/>
        </w:rPr>
        <w:t>, and the final decision regarding support or trusteeship must be proportional to the level of incapacity</w:t>
      </w:r>
      <w:r w:rsidR="00152676">
        <w:rPr>
          <w:sz w:val="24"/>
          <w:szCs w:val="24"/>
        </w:rPr>
        <w:t>.</w:t>
      </w:r>
    </w:p>
    <w:p w:rsidR="00A53C8A" w:rsidRDefault="00A53C8A" w:rsidP="002E4551">
      <w:pPr>
        <w:spacing w:line="360" w:lineRule="auto"/>
        <w:rPr>
          <w:sz w:val="24"/>
          <w:szCs w:val="24"/>
        </w:rPr>
      </w:pPr>
    </w:p>
    <w:p w:rsidR="00517AF0" w:rsidRDefault="00517AF0" w:rsidP="002E4551">
      <w:pPr>
        <w:spacing w:line="360" w:lineRule="auto"/>
        <w:rPr>
          <w:sz w:val="24"/>
          <w:szCs w:val="24"/>
        </w:rPr>
      </w:pPr>
      <w:r>
        <w:rPr>
          <w:sz w:val="24"/>
          <w:szCs w:val="24"/>
        </w:rPr>
        <w:t>A consideration of the “requirements of the patients” should be removed. Instead the law</w:t>
      </w:r>
      <w:r w:rsidR="002E4551">
        <w:rPr>
          <w:sz w:val="24"/>
          <w:szCs w:val="24"/>
        </w:rPr>
        <w:t xml:space="preserve"> should expressly state that the will and preferences of the p</w:t>
      </w:r>
      <w:r w:rsidR="00C51399">
        <w:rPr>
          <w:sz w:val="24"/>
          <w:szCs w:val="24"/>
        </w:rPr>
        <w:t>erson</w:t>
      </w:r>
      <w:r>
        <w:rPr>
          <w:sz w:val="24"/>
          <w:szCs w:val="24"/>
        </w:rPr>
        <w:t xml:space="preserve"> should be considered</w:t>
      </w:r>
      <w:r w:rsidR="002E4551">
        <w:rPr>
          <w:sz w:val="24"/>
          <w:szCs w:val="24"/>
        </w:rPr>
        <w:t>, rather than the vague caveat that currently can be interpreted as such</w:t>
      </w:r>
      <w:r w:rsidR="007279EA">
        <w:rPr>
          <w:sz w:val="24"/>
          <w:szCs w:val="24"/>
        </w:rPr>
        <w:t xml:space="preserve"> </w:t>
      </w:r>
      <w:r w:rsidR="007279EA">
        <w:rPr>
          <w:sz w:val="24"/>
          <w:szCs w:val="24"/>
          <w:vertAlign w:val="superscript"/>
        </w:rPr>
        <w:t>(17)</w:t>
      </w:r>
      <w:r w:rsidR="002E4551">
        <w:rPr>
          <w:sz w:val="24"/>
          <w:szCs w:val="24"/>
        </w:rPr>
        <w:t>.</w:t>
      </w:r>
      <w:r w:rsidR="00017C80">
        <w:rPr>
          <w:sz w:val="24"/>
          <w:szCs w:val="24"/>
        </w:rPr>
        <w:t xml:space="preserve"> </w:t>
      </w:r>
    </w:p>
    <w:p w:rsidR="000C630C" w:rsidRDefault="000C630C" w:rsidP="002E4551">
      <w:pPr>
        <w:spacing w:line="360" w:lineRule="auto"/>
        <w:rPr>
          <w:sz w:val="24"/>
          <w:szCs w:val="24"/>
        </w:rPr>
      </w:pPr>
    </w:p>
    <w:p w:rsidR="00E51E16" w:rsidRDefault="00EC72F2" w:rsidP="002E4551">
      <w:pPr>
        <w:spacing w:line="360" w:lineRule="auto"/>
        <w:rPr>
          <w:sz w:val="24"/>
          <w:szCs w:val="24"/>
        </w:rPr>
      </w:pPr>
      <w:r>
        <w:rPr>
          <w:sz w:val="24"/>
          <w:szCs w:val="24"/>
        </w:rPr>
        <w:t xml:space="preserve">Mechanisms for supported decision making should be established, which involves the selection and training of persons who will provide support, and informing clients that such support can be provided. </w:t>
      </w:r>
      <w:r w:rsidR="00FE2970">
        <w:rPr>
          <w:sz w:val="24"/>
          <w:szCs w:val="24"/>
        </w:rPr>
        <w:t xml:space="preserve">Provision of support must be voluntarily accepted by the </w:t>
      </w:r>
      <w:r w:rsidR="00C05B25">
        <w:rPr>
          <w:sz w:val="24"/>
          <w:szCs w:val="24"/>
        </w:rPr>
        <w:t>client, and there should not be a conflict of interest betw</w:t>
      </w:r>
      <w:r w:rsidR="001B428E">
        <w:rPr>
          <w:sz w:val="24"/>
          <w:szCs w:val="24"/>
        </w:rPr>
        <w:t>een the client and the appointed support persons</w:t>
      </w:r>
      <w:r w:rsidR="00C05B25">
        <w:rPr>
          <w:sz w:val="24"/>
          <w:szCs w:val="24"/>
        </w:rPr>
        <w:t>.</w:t>
      </w:r>
      <w:r w:rsidR="006D56C8">
        <w:rPr>
          <w:sz w:val="24"/>
          <w:szCs w:val="24"/>
        </w:rPr>
        <w:t xml:space="preserve"> Appointed support persons should be mandated to consult with their clients in all matters.</w:t>
      </w:r>
      <w:r w:rsidR="00632BDF">
        <w:rPr>
          <w:sz w:val="24"/>
          <w:szCs w:val="24"/>
        </w:rPr>
        <w:t xml:space="preserve"> </w:t>
      </w:r>
      <w:r w:rsidR="00753BB0">
        <w:rPr>
          <w:sz w:val="24"/>
          <w:szCs w:val="24"/>
        </w:rPr>
        <w:t>Legal m</w:t>
      </w:r>
      <w:r w:rsidR="00017C80">
        <w:rPr>
          <w:sz w:val="24"/>
          <w:szCs w:val="24"/>
        </w:rPr>
        <w:t>odels for supported decision mechanisms exist</w:t>
      </w:r>
      <w:r w:rsidR="00632BDF">
        <w:rPr>
          <w:sz w:val="24"/>
          <w:szCs w:val="24"/>
        </w:rPr>
        <w:t xml:space="preserve"> in other jurisdictions</w:t>
      </w:r>
      <w:r w:rsidR="006D56C8">
        <w:rPr>
          <w:sz w:val="24"/>
          <w:szCs w:val="24"/>
        </w:rPr>
        <w:t xml:space="preserve"> and should be consulted</w:t>
      </w:r>
      <w:r w:rsidR="004954FF">
        <w:rPr>
          <w:sz w:val="24"/>
          <w:szCs w:val="24"/>
        </w:rPr>
        <w:t>.</w:t>
      </w:r>
    </w:p>
    <w:p w:rsidR="009A7E2C" w:rsidRDefault="009A7E2C" w:rsidP="002E4551">
      <w:pPr>
        <w:spacing w:line="360" w:lineRule="auto"/>
        <w:rPr>
          <w:sz w:val="24"/>
          <w:szCs w:val="24"/>
        </w:rPr>
      </w:pPr>
    </w:p>
    <w:p w:rsidR="009A7E2C" w:rsidRDefault="009A7E2C" w:rsidP="002E4551">
      <w:pPr>
        <w:spacing w:line="360" w:lineRule="auto"/>
        <w:rPr>
          <w:sz w:val="24"/>
          <w:szCs w:val="24"/>
        </w:rPr>
      </w:pPr>
      <w:r>
        <w:rPr>
          <w:sz w:val="24"/>
          <w:szCs w:val="24"/>
        </w:rPr>
        <w:t xml:space="preserve">There should also be established procedure to receive, evaluate and address complaints from disabled persons regarding </w:t>
      </w:r>
      <w:r w:rsidR="006D56C8">
        <w:rPr>
          <w:sz w:val="24"/>
          <w:szCs w:val="24"/>
        </w:rPr>
        <w:t>the actions of trustees or support persons. Adjudication of these matters should be performed by qualified, competent and impartial professionals.</w:t>
      </w:r>
      <w:r w:rsidR="009D74F8">
        <w:rPr>
          <w:sz w:val="24"/>
          <w:szCs w:val="24"/>
        </w:rPr>
        <w:t xml:space="preserve"> The Mental Health Review Board is already established in law, but should be reconstituted and activated to carry out its mandate. As part of the initial court proceedings disabled persons must be giving information regarding the availability the Board. </w:t>
      </w:r>
    </w:p>
    <w:p w:rsidR="004954FF" w:rsidRDefault="004954FF" w:rsidP="002E4551">
      <w:pPr>
        <w:spacing w:line="360" w:lineRule="auto"/>
        <w:rPr>
          <w:sz w:val="24"/>
          <w:szCs w:val="24"/>
        </w:rPr>
      </w:pPr>
    </w:p>
    <w:p w:rsidR="002964A1" w:rsidRDefault="002964A1" w:rsidP="002E4551">
      <w:pPr>
        <w:spacing w:line="360" w:lineRule="auto"/>
        <w:rPr>
          <w:sz w:val="24"/>
          <w:szCs w:val="24"/>
        </w:rPr>
      </w:pPr>
      <w:r>
        <w:rPr>
          <w:sz w:val="24"/>
          <w:szCs w:val="24"/>
        </w:rPr>
        <w:t xml:space="preserve">There should be mandated a time-frame for review of the client’s status, and of the actions of the </w:t>
      </w:r>
      <w:r>
        <w:rPr>
          <w:sz w:val="24"/>
          <w:szCs w:val="24"/>
        </w:rPr>
        <w:lastRenderedPageBreak/>
        <w:t>appointed</w:t>
      </w:r>
      <w:r w:rsidR="00053492">
        <w:rPr>
          <w:sz w:val="24"/>
          <w:szCs w:val="24"/>
        </w:rPr>
        <w:t xml:space="preserve"> support</w:t>
      </w:r>
      <w:r>
        <w:rPr>
          <w:sz w:val="24"/>
          <w:szCs w:val="24"/>
        </w:rPr>
        <w:t>, thus allowing the court to determine whether the support must be on-going, modified or terminated.</w:t>
      </w:r>
    </w:p>
    <w:p w:rsidR="001E7974" w:rsidRDefault="001E7974" w:rsidP="00452C0A">
      <w:pPr>
        <w:spacing w:line="360" w:lineRule="auto"/>
        <w:rPr>
          <w:sz w:val="24"/>
          <w:szCs w:val="24"/>
        </w:rPr>
      </w:pPr>
    </w:p>
    <w:p w:rsidR="00F71370" w:rsidRDefault="00F71370" w:rsidP="00F71370">
      <w:pPr>
        <w:spacing w:line="360" w:lineRule="auto"/>
        <w:rPr>
          <w:sz w:val="24"/>
          <w:szCs w:val="24"/>
        </w:rPr>
      </w:pPr>
      <w:r>
        <w:rPr>
          <w:sz w:val="24"/>
          <w:szCs w:val="24"/>
        </w:rPr>
        <w:t xml:space="preserve">Clear definitions of incapacity should be established, and trusteeships should be used as a last resort. Also </w:t>
      </w:r>
      <w:r w:rsidR="00101532">
        <w:rPr>
          <w:sz w:val="24"/>
          <w:szCs w:val="24"/>
        </w:rPr>
        <w:t xml:space="preserve">it is recommended that </w:t>
      </w:r>
      <w:r>
        <w:rPr>
          <w:sz w:val="24"/>
          <w:szCs w:val="24"/>
        </w:rPr>
        <w:t>law</w:t>
      </w:r>
      <w:r w:rsidR="00101532">
        <w:rPr>
          <w:sz w:val="24"/>
          <w:szCs w:val="24"/>
        </w:rPr>
        <w:t xml:space="preserve">s be drafted </w:t>
      </w:r>
      <w:r>
        <w:rPr>
          <w:sz w:val="24"/>
          <w:szCs w:val="24"/>
        </w:rPr>
        <w:t>which can be used by persons who foresee future incapacity and wish to have a legally binding advance directive</w:t>
      </w:r>
      <w:r w:rsidR="00780BC5">
        <w:rPr>
          <w:sz w:val="24"/>
          <w:szCs w:val="24"/>
        </w:rPr>
        <w:t>; no such provision currently exist</w:t>
      </w:r>
      <w:r>
        <w:rPr>
          <w:sz w:val="24"/>
          <w:szCs w:val="24"/>
        </w:rPr>
        <w:t xml:space="preserve">. </w:t>
      </w:r>
    </w:p>
    <w:p w:rsidR="00F71370" w:rsidRDefault="00F71370" w:rsidP="00452C0A">
      <w:pPr>
        <w:spacing w:line="360" w:lineRule="auto"/>
        <w:rPr>
          <w:sz w:val="24"/>
          <w:szCs w:val="24"/>
        </w:rPr>
      </w:pPr>
    </w:p>
    <w:p w:rsidR="001E7974" w:rsidRDefault="00E51E16" w:rsidP="00452C0A">
      <w:pPr>
        <w:spacing w:line="360" w:lineRule="auto"/>
        <w:rPr>
          <w:sz w:val="24"/>
          <w:szCs w:val="24"/>
        </w:rPr>
      </w:pPr>
      <w:r>
        <w:rPr>
          <w:sz w:val="24"/>
          <w:szCs w:val="24"/>
        </w:rPr>
        <w:t xml:space="preserve">It is necessary to provide education to the legal </w:t>
      </w:r>
      <w:r w:rsidR="00333AFA">
        <w:rPr>
          <w:sz w:val="24"/>
          <w:szCs w:val="24"/>
        </w:rPr>
        <w:t>and general medical fraternities</w:t>
      </w:r>
      <w:r w:rsidR="00517AF0">
        <w:rPr>
          <w:sz w:val="24"/>
          <w:szCs w:val="24"/>
        </w:rPr>
        <w:t xml:space="preserve"> on these issues.</w:t>
      </w:r>
      <w:r w:rsidR="00452C0A">
        <w:rPr>
          <w:sz w:val="24"/>
          <w:szCs w:val="24"/>
        </w:rPr>
        <w:t xml:space="preserve"> </w:t>
      </w:r>
      <w:r w:rsidR="001E7974">
        <w:rPr>
          <w:sz w:val="24"/>
          <w:szCs w:val="24"/>
        </w:rPr>
        <w:t xml:space="preserve">Infringements in human rights may sometimes occur in scenarios whereby professionals do what they consider to be in the “best interests” of the client. The change is mind-set that is required </w:t>
      </w:r>
      <w:r w:rsidR="006D56C8">
        <w:rPr>
          <w:sz w:val="24"/>
          <w:szCs w:val="24"/>
        </w:rPr>
        <w:t>needs to be addressed in order to effectively</w:t>
      </w:r>
      <w:r w:rsidR="00FD7C63">
        <w:rPr>
          <w:sz w:val="24"/>
          <w:szCs w:val="24"/>
        </w:rPr>
        <w:t xml:space="preserve"> protect client’s human rights</w:t>
      </w:r>
      <w:bookmarkStart w:id="0" w:name="_GoBack"/>
      <w:bookmarkEnd w:id="0"/>
      <w:r w:rsidR="006D56C8">
        <w:rPr>
          <w:sz w:val="24"/>
          <w:szCs w:val="24"/>
        </w:rPr>
        <w:t>.</w:t>
      </w:r>
    </w:p>
    <w:p w:rsidR="00E51E16" w:rsidRDefault="00E51E16" w:rsidP="002E4551">
      <w:pPr>
        <w:spacing w:line="360" w:lineRule="auto"/>
        <w:rPr>
          <w:sz w:val="24"/>
          <w:szCs w:val="24"/>
        </w:rPr>
      </w:pPr>
    </w:p>
    <w:p w:rsidR="004B4914" w:rsidRPr="00F269DD" w:rsidRDefault="004B4914" w:rsidP="00266E0F">
      <w:pPr>
        <w:spacing w:line="360" w:lineRule="auto"/>
        <w:rPr>
          <w:b/>
          <w:sz w:val="24"/>
          <w:szCs w:val="24"/>
        </w:rPr>
      </w:pPr>
    </w:p>
    <w:p w:rsidR="004B4914" w:rsidRPr="00F269DD" w:rsidRDefault="00D246A1" w:rsidP="00266E0F">
      <w:pPr>
        <w:spacing w:line="360" w:lineRule="auto"/>
        <w:rPr>
          <w:b/>
          <w:sz w:val="24"/>
          <w:szCs w:val="24"/>
        </w:rPr>
      </w:pPr>
      <w:r w:rsidRPr="00F269DD">
        <w:rPr>
          <w:b/>
          <w:sz w:val="24"/>
          <w:szCs w:val="24"/>
        </w:rPr>
        <w:t>O</w:t>
      </w:r>
      <w:r w:rsidR="004B4914" w:rsidRPr="00F269DD">
        <w:rPr>
          <w:b/>
          <w:sz w:val="24"/>
          <w:szCs w:val="24"/>
        </w:rPr>
        <w:t>bligations to include civil societ</w:t>
      </w:r>
      <w:r w:rsidR="00F269DD" w:rsidRPr="00F269DD">
        <w:rPr>
          <w:b/>
          <w:sz w:val="24"/>
          <w:szCs w:val="24"/>
        </w:rPr>
        <w:t xml:space="preserve">y in law and policy reform </w:t>
      </w:r>
    </w:p>
    <w:p w:rsidR="00366D13" w:rsidRDefault="00382735" w:rsidP="00382735">
      <w:pPr>
        <w:spacing w:line="360" w:lineRule="auto"/>
        <w:rPr>
          <w:sz w:val="24"/>
          <w:szCs w:val="24"/>
        </w:rPr>
      </w:pPr>
      <w:r>
        <w:rPr>
          <w:sz w:val="24"/>
          <w:szCs w:val="24"/>
        </w:rPr>
        <w:t xml:space="preserve">It has been seen that extensive attempts to place safeguards in the Mental Health Act still creates a system whereby </w:t>
      </w:r>
      <w:r w:rsidR="004A35CC">
        <w:rPr>
          <w:sz w:val="24"/>
          <w:szCs w:val="24"/>
        </w:rPr>
        <w:t>trustee</w:t>
      </w:r>
      <w:r>
        <w:rPr>
          <w:sz w:val="24"/>
          <w:szCs w:val="24"/>
        </w:rPr>
        <w:t>ship removes the right to legal capacity, and the infringement on the right</w:t>
      </w:r>
      <w:r w:rsidR="004A35CC">
        <w:rPr>
          <w:sz w:val="24"/>
          <w:szCs w:val="24"/>
        </w:rPr>
        <w:t xml:space="preserve"> to legal capacity</w:t>
      </w:r>
      <w:r>
        <w:rPr>
          <w:sz w:val="24"/>
          <w:szCs w:val="24"/>
        </w:rPr>
        <w:t xml:space="preserve"> remains. </w:t>
      </w:r>
      <w:r w:rsidR="00610E62">
        <w:rPr>
          <w:sz w:val="24"/>
          <w:szCs w:val="24"/>
        </w:rPr>
        <w:t>All stages of implementation and monitoring of the CRPD must occur from the perspective of persons with disabilities.</w:t>
      </w:r>
      <w:r>
        <w:rPr>
          <w:sz w:val="24"/>
          <w:szCs w:val="24"/>
        </w:rPr>
        <w:t xml:space="preserve"> With this in mind</w:t>
      </w:r>
      <w:r w:rsidR="004A35CC">
        <w:rPr>
          <w:sz w:val="24"/>
          <w:szCs w:val="24"/>
        </w:rPr>
        <w:t>,</w:t>
      </w:r>
      <w:r>
        <w:rPr>
          <w:sz w:val="24"/>
          <w:szCs w:val="24"/>
        </w:rPr>
        <w:t xml:space="preserve"> reference to the CRPD Articles 4(3</w:t>
      </w:r>
      <w:r w:rsidRPr="007279EA">
        <w:rPr>
          <w:sz w:val="24"/>
          <w:szCs w:val="24"/>
        </w:rPr>
        <w:t xml:space="preserve">) </w:t>
      </w:r>
      <w:r w:rsidR="007279EA" w:rsidRPr="007279EA">
        <w:rPr>
          <w:sz w:val="24"/>
          <w:szCs w:val="24"/>
          <w:vertAlign w:val="superscript"/>
        </w:rPr>
        <w:t>(18</w:t>
      </w:r>
      <w:r w:rsidRPr="007279EA">
        <w:rPr>
          <w:sz w:val="24"/>
          <w:szCs w:val="24"/>
          <w:vertAlign w:val="superscript"/>
        </w:rPr>
        <w:t>)</w:t>
      </w:r>
      <w:r>
        <w:rPr>
          <w:sz w:val="24"/>
          <w:szCs w:val="24"/>
        </w:rPr>
        <w:t xml:space="preserve"> and 33(3) </w:t>
      </w:r>
      <w:r w:rsidR="007279EA">
        <w:rPr>
          <w:sz w:val="24"/>
          <w:szCs w:val="24"/>
          <w:vertAlign w:val="superscript"/>
        </w:rPr>
        <w:t>(19</w:t>
      </w:r>
      <w:r>
        <w:rPr>
          <w:sz w:val="24"/>
          <w:szCs w:val="24"/>
          <w:vertAlign w:val="superscript"/>
        </w:rPr>
        <w:t>)</w:t>
      </w:r>
      <w:r>
        <w:rPr>
          <w:sz w:val="24"/>
          <w:szCs w:val="24"/>
        </w:rPr>
        <w:t xml:space="preserve"> not only encourages but also mandates governments to include the participation of civil society in the initial implementation and follow-up monitoring of the CRPD. </w:t>
      </w:r>
      <w:r w:rsidR="000240A6">
        <w:rPr>
          <w:sz w:val="24"/>
          <w:szCs w:val="24"/>
        </w:rPr>
        <w:t xml:space="preserve">Law and policy reform is not a matter solely for the legal fraternity, consultation with civil society is the optimal way to determine </w:t>
      </w:r>
      <w:r>
        <w:rPr>
          <w:sz w:val="24"/>
          <w:szCs w:val="24"/>
        </w:rPr>
        <w:t>where discrimination exist,</w:t>
      </w:r>
      <w:r w:rsidR="000240A6">
        <w:rPr>
          <w:sz w:val="24"/>
          <w:szCs w:val="24"/>
        </w:rPr>
        <w:t xml:space="preserve"> services</w:t>
      </w:r>
      <w:r w:rsidR="00F269DD">
        <w:rPr>
          <w:sz w:val="24"/>
          <w:szCs w:val="24"/>
        </w:rPr>
        <w:t xml:space="preserve"> and support</w:t>
      </w:r>
      <w:r w:rsidR="000240A6">
        <w:rPr>
          <w:sz w:val="24"/>
          <w:szCs w:val="24"/>
        </w:rPr>
        <w:t xml:space="preserve"> already </w:t>
      </w:r>
      <w:r>
        <w:rPr>
          <w:sz w:val="24"/>
          <w:szCs w:val="24"/>
        </w:rPr>
        <w:t>present</w:t>
      </w:r>
      <w:r w:rsidR="000240A6">
        <w:rPr>
          <w:sz w:val="24"/>
          <w:szCs w:val="24"/>
        </w:rPr>
        <w:t>, and where improvements need to be made.</w:t>
      </w:r>
      <w:r w:rsidR="00366D13">
        <w:rPr>
          <w:sz w:val="24"/>
          <w:szCs w:val="24"/>
        </w:rPr>
        <w:t xml:space="preserve"> </w:t>
      </w:r>
      <w:r w:rsidR="00F4157F">
        <w:rPr>
          <w:sz w:val="24"/>
          <w:szCs w:val="24"/>
        </w:rPr>
        <w:t xml:space="preserve">Disability is recognized to arise from the interaction between personal impairments and the attitudinal and environmental barriers </w:t>
      </w:r>
      <w:r w:rsidR="00581AF0">
        <w:rPr>
          <w:sz w:val="24"/>
          <w:szCs w:val="24"/>
        </w:rPr>
        <w:t xml:space="preserve">existing </w:t>
      </w:r>
      <w:r w:rsidR="00F4157F">
        <w:rPr>
          <w:sz w:val="24"/>
          <w:szCs w:val="24"/>
        </w:rPr>
        <w:t xml:space="preserve">in society.  </w:t>
      </w:r>
      <w:r w:rsidR="00581AF0">
        <w:rPr>
          <w:sz w:val="24"/>
          <w:szCs w:val="24"/>
        </w:rPr>
        <w:t>Persons with mental health challenges</w:t>
      </w:r>
      <w:r w:rsidR="00366D13">
        <w:rPr>
          <w:sz w:val="24"/>
          <w:szCs w:val="24"/>
        </w:rPr>
        <w:t xml:space="preserve"> give first-hand representations to the limitations and infringement of rights in the local context, and the barr</w:t>
      </w:r>
      <w:r w:rsidR="00F4157F">
        <w:rPr>
          <w:sz w:val="24"/>
          <w:szCs w:val="24"/>
        </w:rPr>
        <w:t>iers which inhibit f</w:t>
      </w:r>
      <w:r w:rsidR="00610E62">
        <w:rPr>
          <w:sz w:val="24"/>
          <w:szCs w:val="24"/>
        </w:rPr>
        <w:t>ull and effective participation, such as in the case of substituted versus supported decision making.</w:t>
      </w:r>
    </w:p>
    <w:p w:rsidR="00382735" w:rsidRDefault="00382735" w:rsidP="00382735">
      <w:pPr>
        <w:spacing w:line="360" w:lineRule="auto"/>
        <w:rPr>
          <w:sz w:val="24"/>
          <w:szCs w:val="24"/>
        </w:rPr>
      </w:pPr>
    </w:p>
    <w:p w:rsidR="00F4157F" w:rsidRDefault="00F4157F" w:rsidP="00266E0F">
      <w:pPr>
        <w:spacing w:line="360" w:lineRule="auto"/>
        <w:rPr>
          <w:sz w:val="24"/>
          <w:szCs w:val="24"/>
        </w:rPr>
      </w:pPr>
    </w:p>
    <w:p w:rsidR="008E2002" w:rsidRDefault="008E2002" w:rsidP="00266E0F">
      <w:pPr>
        <w:spacing w:line="360" w:lineRule="auto"/>
        <w:rPr>
          <w:sz w:val="24"/>
          <w:szCs w:val="24"/>
        </w:rPr>
      </w:pPr>
      <w:r>
        <w:rPr>
          <w:sz w:val="24"/>
          <w:szCs w:val="24"/>
        </w:rPr>
        <w:t>Civil society not only contributes to the local processes, but through international coop</w:t>
      </w:r>
      <w:r w:rsidR="006D5769">
        <w:rPr>
          <w:sz w:val="24"/>
          <w:szCs w:val="24"/>
        </w:rPr>
        <w:t xml:space="preserve">eration </w:t>
      </w:r>
      <w:r w:rsidR="006D5769">
        <w:rPr>
          <w:sz w:val="24"/>
          <w:szCs w:val="24"/>
        </w:rPr>
        <w:lastRenderedPageBreak/>
        <w:t>(</w:t>
      </w:r>
      <w:r w:rsidR="00C8367A">
        <w:rPr>
          <w:sz w:val="24"/>
          <w:szCs w:val="24"/>
        </w:rPr>
        <w:t xml:space="preserve">CRPD </w:t>
      </w:r>
      <w:r w:rsidR="006D5769">
        <w:rPr>
          <w:sz w:val="24"/>
          <w:szCs w:val="24"/>
        </w:rPr>
        <w:t>Art 32(1)</w:t>
      </w:r>
      <w:r w:rsidR="00917879">
        <w:rPr>
          <w:sz w:val="24"/>
          <w:szCs w:val="24"/>
        </w:rPr>
        <w:t xml:space="preserve"> </w:t>
      </w:r>
      <w:r w:rsidR="00917879">
        <w:rPr>
          <w:sz w:val="24"/>
          <w:szCs w:val="24"/>
          <w:vertAlign w:val="superscript"/>
        </w:rPr>
        <w:t>(20)</w:t>
      </w:r>
      <w:r w:rsidR="006D5769">
        <w:rPr>
          <w:sz w:val="24"/>
          <w:szCs w:val="24"/>
        </w:rPr>
        <w:t>) receives and gives support to the national effort via exchange of technical and economic assistance, research, and capacity building.</w:t>
      </w:r>
      <w:r w:rsidR="003F76C2">
        <w:rPr>
          <w:sz w:val="24"/>
          <w:szCs w:val="24"/>
        </w:rPr>
        <w:t xml:space="preserve"> Advocacy, non-g</w:t>
      </w:r>
      <w:r w:rsidR="007A310D">
        <w:rPr>
          <w:sz w:val="24"/>
          <w:szCs w:val="24"/>
        </w:rPr>
        <w:t xml:space="preserve">overnmental and other such </w:t>
      </w:r>
      <w:r w:rsidR="004A35CC">
        <w:rPr>
          <w:sz w:val="24"/>
          <w:szCs w:val="24"/>
        </w:rPr>
        <w:t>organizations</w:t>
      </w:r>
      <w:r w:rsidR="007A310D">
        <w:rPr>
          <w:sz w:val="24"/>
          <w:szCs w:val="24"/>
        </w:rPr>
        <w:t xml:space="preserve"> have been instrumental on the international stage </w:t>
      </w:r>
      <w:r w:rsidR="003F76C2">
        <w:rPr>
          <w:sz w:val="24"/>
          <w:szCs w:val="24"/>
        </w:rPr>
        <w:t>in</w:t>
      </w:r>
      <w:r w:rsidR="007A310D">
        <w:rPr>
          <w:sz w:val="24"/>
          <w:szCs w:val="24"/>
        </w:rPr>
        <w:t xml:space="preserve"> </w:t>
      </w:r>
      <w:r w:rsidR="00F73ECF">
        <w:rPr>
          <w:sz w:val="24"/>
          <w:szCs w:val="24"/>
        </w:rPr>
        <w:t xml:space="preserve">progressively </w:t>
      </w:r>
      <w:r w:rsidR="007A310D">
        <w:rPr>
          <w:sz w:val="24"/>
          <w:szCs w:val="24"/>
        </w:rPr>
        <w:t xml:space="preserve">achieving </w:t>
      </w:r>
      <w:r w:rsidR="008955E6">
        <w:rPr>
          <w:sz w:val="24"/>
          <w:szCs w:val="24"/>
        </w:rPr>
        <w:t>awareness, including</w:t>
      </w:r>
      <w:r w:rsidR="00F73ECF">
        <w:rPr>
          <w:sz w:val="24"/>
          <w:szCs w:val="24"/>
        </w:rPr>
        <w:t xml:space="preserve"> </w:t>
      </w:r>
      <w:r w:rsidR="003F76C2">
        <w:rPr>
          <w:sz w:val="24"/>
          <w:szCs w:val="24"/>
        </w:rPr>
        <w:t>the International Disability Alliance</w:t>
      </w:r>
      <w:r w:rsidR="00F73ECF">
        <w:rPr>
          <w:sz w:val="24"/>
          <w:szCs w:val="24"/>
        </w:rPr>
        <w:t xml:space="preserve"> </w:t>
      </w:r>
      <w:r w:rsidR="00917879">
        <w:rPr>
          <w:sz w:val="24"/>
          <w:szCs w:val="24"/>
          <w:vertAlign w:val="superscript"/>
        </w:rPr>
        <w:t>(21</w:t>
      </w:r>
      <w:r w:rsidR="00F73ECF">
        <w:rPr>
          <w:sz w:val="24"/>
          <w:szCs w:val="24"/>
          <w:vertAlign w:val="superscript"/>
        </w:rPr>
        <w:t>)</w:t>
      </w:r>
      <w:r w:rsidR="00F73ECF">
        <w:rPr>
          <w:sz w:val="24"/>
          <w:szCs w:val="24"/>
        </w:rPr>
        <w:t xml:space="preserve"> </w:t>
      </w:r>
      <w:r w:rsidR="00153764">
        <w:rPr>
          <w:sz w:val="24"/>
          <w:szCs w:val="24"/>
        </w:rPr>
        <w:t xml:space="preserve">submission on capacity, </w:t>
      </w:r>
      <w:r w:rsidR="00F73ECF">
        <w:rPr>
          <w:sz w:val="24"/>
          <w:szCs w:val="24"/>
        </w:rPr>
        <w:t>and others.</w:t>
      </w:r>
    </w:p>
    <w:p w:rsidR="00610E62" w:rsidRDefault="00610E62" w:rsidP="00610E62">
      <w:pPr>
        <w:spacing w:line="360" w:lineRule="auto"/>
        <w:rPr>
          <w:sz w:val="24"/>
          <w:szCs w:val="24"/>
        </w:rPr>
      </w:pPr>
    </w:p>
    <w:p w:rsidR="00610E62" w:rsidRDefault="00610E62" w:rsidP="00610E62">
      <w:pPr>
        <w:spacing w:line="360" w:lineRule="auto"/>
        <w:rPr>
          <w:sz w:val="24"/>
          <w:szCs w:val="24"/>
        </w:rPr>
      </w:pPr>
      <w:r>
        <w:rPr>
          <w:sz w:val="24"/>
          <w:szCs w:val="24"/>
        </w:rPr>
        <w:t xml:space="preserve">Regionally the Pan American Health Organization (PAHO) </w:t>
      </w:r>
      <w:r w:rsidR="00917879">
        <w:rPr>
          <w:sz w:val="24"/>
          <w:szCs w:val="24"/>
          <w:vertAlign w:val="superscript"/>
        </w:rPr>
        <w:t>(22</w:t>
      </w:r>
      <w:r>
        <w:rPr>
          <w:sz w:val="24"/>
          <w:szCs w:val="24"/>
          <w:vertAlign w:val="superscript"/>
        </w:rPr>
        <w:t>)</w:t>
      </w:r>
      <w:r>
        <w:rPr>
          <w:sz w:val="24"/>
          <w:szCs w:val="24"/>
        </w:rPr>
        <w:t xml:space="preserve"> gives practical advice on the various organizations which should be considered, and the involvement of civil society is also to be monitored as one of the signs of progress. These include agencies which represent mental health service users, family members, and advocacy groups, among others. </w:t>
      </w:r>
    </w:p>
    <w:p w:rsidR="00610E62" w:rsidRDefault="00610E62">
      <w:pPr>
        <w:widowControl/>
        <w:suppressAutoHyphens w:val="0"/>
        <w:spacing w:after="160" w:line="259" w:lineRule="auto"/>
        <w:rPr>
          <w:sz w:val="24"/>
          <w:szCs w:val="24"/>
        </w:rPr>
      </w:pPr>
      <w:r>
        <w:rPr>
          <w:sz w:val="24"/>
          <w:szCs w:val="24"/>
        </w:rPr>
        <w:br w:type="page"/>
      </w:r>
    </w:p>
    <w:p w:rsidR="00D943F2" w:rsidRDefault="00D943F2">
      <w:pPr>
        <w:widowControl/>
        <w:suppressAutoHyphens w:val="0"/>
        <w:spacing w:after="160" w:line="259" w:lineRule="auto"/>
        <w:rPr>
          <w:sz w:val="24"/>
          <w:szCs w:val="24"/>
        </w:rPr>
      </w:pPr>
    </w:p>
    <w:p w:rsidR="004B4914" w:rsidRDefault="00D943F2" w:rsidP="00D943F2">
      <w:pPr>
        <w:spacing w:line="360" w:lineRule="auto"/>
        <w:jc w:val="center"/>
        <w:rPr>
          <w:sz w:val="24"/>
          <w:szCs w:val="24"/>
        </w:rPr>
      </w:pPr>
      <w:r>
        <w:rPr>
          <w:sz w:val="24"/>
          <w:szCs w:val="24"/>
        </w:rPr>
        <w:t>Appendices</w:t>
      </w:r>
    </w:p>
    <w:p w:rsidR="00D943F2" w:rsidRDefault="00D943F2" w:rsidP="00D943F2">
      <w:pPr>
        <w:spacing w:line="360" w:lineRule="auto"/>
        <w:rPr>
          <w:sz w:val="24"/>
          <w:szCs w:val="24"/>
        </w:rPr>
      </w:pPr>
    </w:p>
    <w:p w:rsidR="004B4914" w:rsidRPr="00D943F2" w:rsidRDefault="00D943F2" w:rsidP="00D943F2">
      <w:pPr>
        <w:pStyle w:val="ListParagraph"/>
        <w:numPr>
          <w:ilvl w:val="0"/>
          <w:numId w:val="1"/>
        </w:numPr>
        <w:spacing w:line="276" w:lineRule="auto"/>
        <w:rPr>
          <w:sz w:val="24"/>
          <w:szCs w:val="24"/>
        </w:rPr>
      </w:pPr>
      <w:r>
        <w:rPr>
          <w:lang w:val="en-029"/>
        </w:rPr>
        <w:t xml:space="preserve">WHO Mental Health Action Plan 2013-2020 page 11 para28 “As the ultimate guardian of a population’s mental health, governments have the lead responsibility to put in place appropriate institutional, legal, financing and service arrangements to ensure that needs are met and the mental health of the whole population is promoted”. </w:t>
      </w:r>
      <w:hyperlink r:id="rId8" w:history="1">
        <w:r w:rsidRPr="001B5D57">
          <w:rPr>
            <w:rStyle w:val="Hyperlink"/>
            <w:lang w:val="en-029"/>
          </w:rPr>
          <w:t>http://apps.who.int/iris/bitstream/10665/89966/1/9789241506021_eng.pdf?ua=1</w:t>
        </w:r>
      </w:hyperlink>
      <w:r>
        <w:rPr>
          <w:lang w:val="en-029"/>
        </w:rPr>
        <w:t xml:space="preserve"> (accessed 27</w:t>
      </w:r>
      <w:r w:rsidRPr="00C61CD7">
        <w:rPr>
          <w:vertAlign w:val="superscript"/>
          <w:lang w:val="en-029"/>
        </w:rPr>
        <w:t>th</w:t>
      </w:r>
      <w:r>
        <w:rPr>
          <w:lang w:val="en-029"/>
        </w:rPr>
        <w:t xml:space="preserve"> June 2015)</w:t>
      </w:r>
    </w:p>
    <w:p w:rsidR="00D943F2" w:rsidRPr="00D943F2" w:rsidRDefault="00D943F2" w:rsidP="00D943F2">
      <w:pPr>
        <w:pStyle w:val="ListParagraph"/>
        <w:numPr>
          <w:ilvl w:val="0"/>
          <w:numId w:val="1"/>
        </w:numPr>
        <w:spacing w:line="276" w:lineRule="auto"/>
        <w:rPr>
          <w:sz w:val="24"/>
          <w:szCs w:val="24"/>
        </w:rPr>
      </w:pPr>
      <w:r>
        <w:t xml:space="preserve">International Human Rights Law and the Role of the Legal Professions: A General Introduction  </w:t>
      </w:r>
      <w:hyperlink r:id="rId9" w:history="1">
        <w:r w:rsidRPr="00923BC4">
          <w:rPr>
            <w:rStyle w:val="Hyperlink"/>
          </w:rPr>
          <w:t>http://www.ohchr.org/Documents/Publications/training9chapter1en.pdf</w:t>
        </w:r>
      </w:hyperlink>
      <w:r>
        <w:t xml:space="preserve"> (accessed 4th July 2015)</w:t>
      </w:r>
    </w:p>
    <w:p w:rsidR="00D943F2" w:rsidRPr="00C51399" w:rsidRDefault="00D943F2" w:rsidP="00D943F2">
      <w:pPr>
        <w:pStyle w:val="FootnoteText"/>
        <w:numPr>
          <w:ilvl w:val="0"/>
          <w:numId w:val="1"/>
        </w:numPr>
        <w:rPr>
          <w:lang w:val="en-029"/>
        </w:rPr>
      </w:pPr>
      <w:r>
        <w:t xml:space="preserve">From Exclusion to Equality: Realizing the rights of persons with disabilities. Handbook for Parliamentarians on the Convention on the Rights of Persons with Disabilities and its Optional Protocol. </w:t>
      </w:r>
      <w:hyperlink r:id="rId10" w:history="1">
        <w:r w:rsidRPr="00D6374E">
          <w:rPr>
            <w:rStyle w:val="Hyperlink"/>
          </w:rPr>
          <w:t>http://www.ipu.org/PDF/publications/disabilities-e.pdf</w:t>
        </w:r>
      </w:hyperlink>
      <w:r>
        <w:t xml:space="preserve"> (accessed 22nd June 2015).</w:t>
      </w:r>
    </w:p>
    <w:p w:rsidR="00D943F2" w:rsidRPr="008E6A00" w:rsidRDefault="00D943F2" w:rsidP="00D943F2">
      <w:pPr>
        <w:pStyle w:val="ListParagraph"/>
        <w:numPr>
          <w:ilvl w:val="0"/>
          <w:numId w:val="1"/>
        </w:numPr>
        <w:spacing w:line="276" w:lineRule="auto"/>
        <w:rPr>
          <w:sz w:val="24"/>
          <w:szCs w:val="24"/>
        </w:rPr>
      </w:pPr>
      <w:r>
        <w:rPr>
          <w:lang w:val="en-029"/>
        </w:rPr>
        <w:t>Mental Health Act Cap 45 Part IV Management of property and affairs of patients.</w:t>
      </w:r>
      <w:r w:rsidR="00560C02">
        <w:rPr>
          <w:lang w:val="en-029"/>
        </w:rPr>
        <w:t xml:space="preserve"> Of note §17(1) </w:t>
      </w:r>
      <w:r w:rsidR="00FC0D6E">
        <w:rPr>
          <w:lang w:val="en-029"/>
        </w:rPr>
        <w:t xml:space="preserve"> “Where the High Court, after considering medical evidence, is satisfied that a person is incapable, by reason of mental disorder, of managing and administering his property and affairs, the court may exercise the powers conferred on it by this Part”</w:t>
      </w:r>
    </w:p>
    <w:p w:rsidR="008E6A00" w:rsidRDefault="00FC0D6E" w:rsidP="008E6A00">
      <w:pPr>
        <w:pStyle w:val="FootnoteText"/>
        <w:numPr>
          <w:ilvl w:val="0"/>
          <w:numId w:val="1"/>
        </w:numPr>
        <w:rPr>
          <w:lang w:val="en-029"/>
        </w:rPr>
      </w:pPr>
      <w:r>
        <w:rPr>
          <w:lang w:val="en-029"/>
        </w:rPr>
        <w:t>Ibid</w:t>
      </w:r>
    </w:p>
    <w:p w:rsidR="005247F2" w:rsidRDefault="005247F2" w:rsidP="008E6A00">
      <w:pPr>
        <w:pStyle w:val="FootnoteText"/>
        <w:numPr>
          <w:ilvl w:val="0"/>
          <w:numId w:val="1"/>
        </w:numPr>
        <w:rPr>
          <w:lang w:val="en-029"/>
        </w:rPr>
      </w:pPr>
      <w:r>
        <w:rPr>
          <w:lang w:val="en-029"/>
        </w:rPr>
        <w:t xml:space="preserve">The Mental Health Act Cap 45 §25. Of note §25(1) “For the purposes of investigating matters relating to the capacity of any patient … the court </w:t>
      </w:r>
      <w:r>
        <w:rPr>
          <w:b/>
          <w:lang w:val="en-029"/>
        </w:rPr>
        <w:t>may</w:t>
      </w:r>
      <w:r>
        <w:rPr>
          <w:lang w:val="en-029"/>
        </w:rPr>
        <w:t xml:space="preserve"> appoint (a) a medical practitioner … to be a medical visitor, (b) an attorney at law … to be a legal visitor”</w:t>
      </w:r>
    </w:p>
    <w:p w:rsidR="006F71CE" w:rsidRDefault="006F71CE" w:rsidP="008E6A00">
      <w:pPr>
        <w:pStyle w:val="FootnoteText"/>
        <w:numPr>
          <w:ilvl w:val="0"/>
          <w:numId w:val="1"/>
        </w:numPr>
        <w:rPr>
          <w:lang w:val="en-029"/>
        </w:rPr>
      </w:pPr>
      <w:r>
        <w:rPr>
          <w:lang w:val="en-029"/>
        </w:rPr>
        <w:t>The Mental Health Act Cap 45 §18(2) “…in the exercise of powers conferred on it …the court shall have regard to the requirements of the patient”</w:t>
      </w:r>
    </w:p>
    <w:p w:rsidR="008C34D2" w:rsidRDefault="008C34D2" w:rsidP="008E6A00">
      <w:pPr>
        <w:pStyle w:val="FootnoteText"/>
        <w:numPr>
          <w:ilvl w:val="0"/>
          <w:numId w:val="1"/>
        </w:numPr>
        <w:rPr>
          <w:lang w:val="en-029"/>
        </w:rPr>
      </w:pPr>
      <w:r>
        <w:rPr>
          <w:lang w:val="en-029"/>
        </w:rPr>
        <w:t xml:space="preserve">CRPD Art 12(4) </w:t>
      </w:r>
      <w:r w:rsidR="00FB2202">
        <w:rPr>
          <w:lang w:val="en-029"/>
        </w:rPr>
        <w:t>“Such safeguards shall ensure that measures relating to the exercise of legal capacity respect the rights, will and preferences of the person…”</w:t>
      </w:r>
    </w:p>
    <w:p w:rsidR="00EE1491" w:rsidRPr="0004660D" w:rsidRDefault="00EE1491" w:rsidP="00EE1491">
      <w:pPr>
        <w:pStyle w:val="ListParagraph"/>
        <w:numPr>
          <w:ilvl w:val="0"/>
          <w:numId w:val="1"/>
        </w:numPr>
        <w:spacing w:line="276" w:lineRule="auto"/>
        <w:rPr>
          <w:sz w:val="24"/>
          <w:szCs w:val="24"/>
        </w:rPr>
      </w:pPr>
      <w:r>
        <w:rPr>
          <w:lang w:val="en-029"/>
        </w:rPr>
        <w:t>Mental Health Rules 1984 §78(1)</w:t>
      </w:r>
    </w:p>
    <w:p w:rsidR="00FB2202" w:rsidRPr="00F070D1" w:rsidRDefault="00FB2202" w:rsidP="008E6A00">
      <w:pPr>
        <w:pStyle w:val="FootnoteText"/>
        <w:numPr>
          <w:ilvl w:val="0"/>
          <w:numId w:val="1"/>
        </w:numPr>
        <w:rPr>
          <w:lang w:val="en-029"/>
        </w:rPr>
      </w:pPr>
      <w:r>
        <w:rPr>
          <w:lang w:val="en-029"/>
        </w:rPr>
        <w:t>CRPD Art 12(4) “Such safeguards….are proportional and tailored to the person’s circumstances, apply for the shortest time possible and are subject to regular review by a competent, independent and impartial authority or judicial body”</w:t>
      </w:r>
    </w:p>
    <w:p w:rsidR="00DE0ADF" w:rsidRPr="00E26A56" w:rsidRDefault="00DE0ADF" w:rsidP="00DE0ADF">
      <w:pPr>
        <w:pStyle w:val="FootnoteText"/>
        <w:numPr>
          <w:ilvl w:val="0"/>
          <w:numId w:val="1"/>
        </w:numPr>
        <w:rPr>
          <w:lang w:val="en-029"/>
        </w:rPr>
      </w:pPr>
      <w:r>
        <w:rPr>
          <w:lang w:val="en-029"/>
        </w:rPr>
        <w:t>Mental Health Rules 1984 §26(1) and §48(1)</w:t>
      </w:r>
    </w:p>
    <w:p w:rsidR="0004660D" w:rsidRPr="00871D63" w:rsidRDefault="00AA2187" w:rsidP="00D943F2">
      <w:pPr>
        <w:pStyle w:val="ListParagraph"/>
        <w:numPr>
          <w:ilvl w:val="0"/>
          <w:numId w:val="1"/>
        </w:numPr>
        <w:spacing w:line="276" w:lineRule="auto"/>
        <w:rPr>
          <w:sz w:val="24"/>
          <w:szCs w:val="24"/>
        </w:rPr>
      </w:pPr>
      <w:r>
        <w:t xml:space="preserve">Mental Health Act </w:t>
      </w:r>
      <w:r w:rsidR="00560C02">
        <w:t xml:space="preserve">Cap 45 </w:t>
      </w:r>
      <w:r w:rsidR="00560C02">
        <w:rPr>
          <w:lang w:val="en-029"/>
        </w:rPr>
        <w:t>§</w:t>
      </w:r>
      <w:r w:rsidR="00560C02">
        <w:t xml:space="preserve"> 11</w:t>
      </w:r>
    </w:p>
    <w:p w:rsidR="00871D63" w:rsidRPr="00F26040" w:rsidRDefault="00871D63" w:rsidP="00D943F2">
      <w:pPr>
        <w:pStyle w:val="ListParagraph"/>
        <w:numPr>
          <w:ilvl w:val="0"/>
          <w:numId w:val="1"/>
        </w:numPr>
        <w:spacing w:line="276" w:lineRule="auto"/>
        <w:rPr>
          <w:sz w:val="24"/>
          <w:szCs w:val="24"/>
        </w:rPr>
      </w:pPr>
      <w:r w:rsidRPr="00AE2A32">
        <w:t>The Universal Declaration of Human Rights, Preamble 3</w:t>
      </w:r>
      <w:r w:rsidRPr="00AE2A32">
        <w:rPr>
          <w:vertAlign w:val="superscript"/>
        </w:rPr>
        <w:t>rd</w:t>
      </w:r>
      <w:r w:rsidRPr="00AE2A32">
        <w:t xml:space="preserve"> paragraph “Whereas it is essential, where man is not to be compelled to have recourse</w:t>
      </w:r>
      <w:r w:rsidRPr="00CE5736">
        <w:t xml:space="preserve">, as a last resort, to rebellion against tyranny and oppression, </w:t>
      </w:r>
      <w:r w:rsidRPr="00CE5736">
        <w:rPr>
          <w:b/>
        </w:rPr>
        <w:t>that human rights should be protected by the rule of law</w:t>
      </w:r>
      <w:r w:rsidRPr="00CE5736">
        <w:t xml:space="preserve">” (emphasis added) </w:t>
      </w:r>
    </w:p>
    <w:p w:rsidR="00F26040" w:rsidRPr="004E4409" w:rsidRDefault="00F26040" w:rsidP="00D943F2">
      <w:pPr>
        <w:pStyle w:val="ListParagraph"/>
        <w:numPr>
          <w:ilvl w:val="0"/>
          <w:numId w:val="1"/>
        </w:numPr>
        <w:spacing w:line="276" w:lineRule="auto"/>
        <w:rPr>
          <w:sz w:val="24"/>
          <w:szCs w:val="24"/>
        </w:rPr>
      </w:pPr>
      <w:r>
        <w:rPr>
          <w:lang w:val="en-029"/>
        </w:rPr>
        <w:t xml:space="preserve">CRPD </w:t>
      </w:r>
      <w:r w:rsidR="00412D38">
        <w:rPr>
          <w:lang w:val="en-029"/>
        </w:rPr>
        <w:t xml:space="preserve">Art 4(1) “States Parties undertake to ensure and promote the full realisation of all human rights and fundamental freedoms for all persons with disabilities </w:t>
      </w:r>
      <w:r w:rsidR="00412D38" w:rsidRPr="00D231DE">
        <w:rPr>
          <w:b/>
          <w:lang w:val="en-029"/>
        </w:rPr>
        <w:t xml:space="preserve">without discrimination of any kind </w:t>
      </w:r>
      <w:r w:rsidR="00D231DE" w:rsidRPr="00D231DE">
        <w:rPr>
          <w:b/>
          <w:lang w:val="en-029"/>
        </w:rPr>
        <w:t>on the basis of disability</w:t>
      </w:r>
      <w:r w:rsidR="00D231DE">
        <w:rPr>
          <w:lang w:val="en-029"/>
        </w:rPr>
        <w:t xml:space="preserve">”. </w:t>
      </w:r>
      <w:r w:rsidR="00412D38">
        <w:rPr>
          <w:lang w:val="en-029"/>
        </w:rPr>
        <w:t xml:space="preserve"> </w:t>
      </w:r>
      <w:r>
        <w:rPr>
          <w:lang w:val="en-029"/>
        </w:rPr>
        <w:t>Art 12</w:t>
      </w:r>
      <w:r w:rsidRPr="00AE2A32">
        <w:rPr>
          <w:lang w:val="en-029"/>
        </w:rPr>
        <w:t xml:space="preserve">(b) </w:t>
      </w:r>
      <w:r w:rsidRPr="00AE2A32">
        <w:t xml:space="preserve">“reaffirms that states parties shall recognize that persons with disabilities enjoy legal capacity </w:t>
      </w:r>
      <w:r w:rsidRPr="00AE2A32">
        <w:rPr>
          <w:b/>
        </w:rPr>
        <w:t>on an equal basis with others</w:t>
      </w:r>
      <w:r w:rsidRPr="00AE2A32">
        <w:t xml:space="preserve"> in all aspects of life”</w:t>
      </w:r>
      <w:r>
        <w:t xml:space="preserve"> (emphasis added)</w:t>
      </w:r>
    </w:p>
    <w:p w:rsidR="004E4409" w:rsidRPr="00F26040" w:rsidRDefault="004E4409" w:rsidP="00D943F2">
      <w:pPr>
        <w:pStyle w:val="ListParagraph"/>
        <w:numPr>
          <w:ilvl w:val="0"/>
          <w:numId w:val="1"/>
        </w:numPr>
        <w:spacing w:line="276" w:lineRule="auto"/>
        <w:rPr>
          <w:sz w:val="24"/>
          <w:szCs w:val="24"/>
        </w:rPr>
      </w:pPr>
      <w:r>
        <w:t>International Bill of Human Rights refers jointly to the Universal Declaration of Human Rights (UDHR), the International Covenant on Civil and Political Rights (ICCPCR) and the International Covenant on Economic, Social and Cultural Rights (ICESCR). Both UDHR (Article 6) and ICCPR</w:t>
      </w:r>
      <w:r w:rsidR="00531D65">
        <w:t xml:space="preserve"> (Article 16)</w:t>
      </w:r>
      <w:r>
        <w:t xml:space="preserve"> affirm th</w:t>
      </w:r>
      <w:r w:rsidR="00531D65">
        <w:t>at everyone has “the right to recognition everywhere as a person before the law”.</w:t>
      </w:r>
    </w:p>
    <w:p w:rsidR="00F26040" w:rsidRPr="007279EA" w:rsidRDefault="00C3478C" w:rsidP="00D943F2">
      <w:pPr>
        <w:pStyle w:val="ListParagraph"/>
        <w:numPr>
          <w:ilvl w:val="0"/>
          <w:numId w:val="1"/>
        </w:numPr>
        <w:spacing w:line="276" w:lineRule="auto"/>
        <w:rPr>
          <w:sz w:val="24"/>
          <w:szCs w:val="24"/>
        </w:rPr>
      </w:pPr>
      <w:r w:rsidRPr="00AE2A32">
        <w:rPr>
          <w:lang w:val="en-029"/>
        </w:rPr>
        <w:t>CRPD Art 12(3)</w:t>
      </w:r>
    </w:p>
    <w:p w:rsidR="007279EA" w:rsidRPr="00926504" w:rsidRDefault="007279EA" w:rsidP="00D943F2">
      <w:pPr>
        <w:pStyle w:val="ListParagraph"/>
        <w:numPr>
          <w:ilvl w:val="0"/>
          <w:numId w:val="1"/>
        </w:numPr>
        <w:spacing w:line="276" w:lineRule="auto"/>
        <w:rPr>
          <w:sz w:val="24"/>
          <w:szCs w:val="24"/>
        </w:rPr>
      </w:pPr>
      <w:r>
        <w:rPr>
          <w:lang w:val="en-029"/>
        </w:rPr>
        <w:t>Mental Health Act Cap 45 §18(1) “the court may, with respect to the property and affairs of a patient, do or secure the doing of all such things as appear to be necessary or expedient…”, and also §18(2) “…in the exercise of powers conferred on it … the court shall have regard to the requirements of the patient”.</w:t>
      </w:r>
    </w:p>
    <w:p w:rsidR="00926504" w:rsidRPr="002C55E0" w:rsidRDefault="002C55E0" w:rsidP="00D943F2">
      <w:pPr>
        <w:pStyle w:val="ListParagraph"/>
        <w:numPr>
          <w:ilvl w:val="0"/>
          <w:numId w:val="1"/>
        </w:numPr>
        <w:spacing w:line="276" w:lineRule="auto"/>
        <w:rPr>
          <w:sz w:val="24"/>
          <w:szCs w:val="24"/>
        </w:rPr>
      </w:pPr>
      <w:r w:rsidRPr="007279EA">
        <w:t>CRPD Article</w:t>
      </w:r>
      <w:r>
        <w:t xml:space="preserve"> 4(3) “In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w:t>
      </w:r>
      <w:r>
        <w:lastRenderedPageBreak/>
        <w:t>children with disabilities, through their representative organizations”</w:t>
      </w:r>
    </w:p>
    <w:p w:rsidR="002C55E0" w:rsidRPr="00D246A1" w:rsidRDefault="002C55E0" w:rsidP="002C55E0">
      <w:pPr>
        <w:pStyle w:val="FootnoteText"/>
        <w:numPr>
          <w:ilvl w:val="0"/>
          <w:numId w:val="1"/>
        </w:numPr>
        <w:rPr>
          <w:lang w:val="en-029"/>
        </w:rPr>
      </w:pPr>
      <w:r>
        <w:rPr>
          <w:lang w:val="en-029"/>
        </w:rPr>
        <w:t>CRPD Article 33(3) “</w:t>
      </w:r>
      <w:r>
        <w:t>Civil society, in particular persons with disabilities and their representative organizations, shall be involved and participate fully in the monitoring process”</w:t>
      </w:r>
    </w:p>
    <w:p w:rsidR="00917879" w:rsidRPr="00F73ECF" w:rsidRDefault="00917879" w:rsidP="00917879">
      <w:pPr>
        <w:pStyle w:val="ListParagraph"/>
        <w:numPr>
          <w:ilvl w:val="0"/>
          <w:numId w:val="1"/>
        </w:numPr>
        <w:spacing w:line="276" w:lineRule="auto"/>
        <w:rPr>
          <w:rStyle w:val="Hyperlink"/>
          <w:color w:val="auto"/>
          <w:sz w:val="24"/>
          <w:szCs w:val="24"/>
          <w:u w:val="none"/>
        </w:rPr>
      </w:pPr>
      <w:r>
        <w:rPr>
          <w:rStyle w:val="Hyperlink"/>
          <w:color w:val="auto"/>
          <w:u w:val="none"/>
        </w:rPr>
        <w:t xml:space="preserve">CRPD Art 32(1) “States Parties recognize the importance of international cooperation and its promotion ….between and among states and, as appropriate, in partnership with relevant international and regional organizations and civil society, in particular organizations of persons with disabilities.  </w:t>
      </w:r>
    </w:p>
    <w:p w:rsidR="00F269DD" w:rsidRPr="00F269DD" w:rsidRDefault="002C55E0" w:rsidP="00F269DD">
      <w:pPr>
        <w:pStyle w:val="ListParagraph"/>
        <w:numPr>
          <w:ilvl w:val="0"/>
          <w:numId w:val="1"/>
        </w:numPr>
        <w:spacing w:line="276" w:lineRule="auto"/>
        <w:rPr>
          <w:rStyle w:val="Hyperlink"/>
          <w:color w:val="auto"/>
          <w:sz w:val="24"/>
          <w:szCs w:val="24"/>
          <w:u w:val="none"/>
        </w:rPr>
      </w:pPr>
      <w:r>
        <w:t>Pan American Health Organization Plan Of Action on Mental Health 2015-2020 page 6 paragraph 29 “</w:t>
      </w:r>
      <w:r w:rsidRPr="003146E1">
        <w:t>Civil society plays a key role in the preparation and implementation of plans and laws, in particular through associations of users of mental health services and their families, peer support groups, social support groups, community integration and participation, and the promotion of effective and appropriate services. In the first year of implementation of the Plan a baseline will be established to measure progress of the civil society role</w:t>
      </w:r>
      <w:r>
        <w:t xml:space="preserve">” </w:t>
      </w:r>
      <w:hyperlink r:id="rId11" w:history="1">
        <w:r w:rsidRPr="001B5D57">
          <w:rPr>
            <w:rStyle w:val="Hyperlink"/>
          </w:rPr>
          <w:t>http://www.paho.org/hq/index.php?option=com_docman&amp;task=doc_download&amp;gid=26722&amp;Itemid=270&amp;lang=en</w:t>
        </w:r>
      </w:hyperlink>
      <w:r w:rsidR="00F269DD">
        <w:rPr>
          <w:rStyle w:val="Hyperlink"/>
        </w:rPr>
        <w:t xml:space="preserve">   </w:t>
      </w:r>
    </w:p>
    <w:p w:rsidR="00F73ECF" w:rsidRPr="00F269DD" w:rsidRDefault="00F73ECF" w:rsidP="00F73ECF">
      <w:pPr>
        <w:pStyle w:val="ListParagraph"/>
        <w:numPr>
          <w:ilvl w:val="0"/>
          <w:numId w:val="1"/>
        </w:numPr>
        <w:spacing w:line="276" w:lineRule="auto"/>
        <w:rPr>
          <w:rStyle w:val="Hyperlink"/>
          <w:color w:val="auto"/>
          <w:sz w:val="24"/>
          <w:szCs w:val="24"/>
          <w:u w:val="none"/>
        </w:rPr>
      </w:pPr>
      <w:r>
        <w:rPr>
          <w:rStyle w:val="Hyperlink"/>
          <w:color w:val="auto"/>
          <w:u w:val="none"/>
        </w:rPr>
        <w:t xml:space="preserve">International Disability Alliance </w:t>
      </w:r>
      <w:r w:rsidR="00B30D8F">
        <w:rPr>
          <w:rStyle w:val="Hyperlink"/>
          <w:color w:val="auto"/>
          <w:u w:val="none"/>
        </w:rPr>
        <w:t>(1)</w:t>
      </w:r>
      <w:r w:rsidR="005B6192">
        <w:rPr>
          <w:rStyle w:val="Hyperlink"/>
          <w:color w:val="auto"/>
          <w:u w:val="none"/>
        </w:rPr>
        <w:t>CRPD Forum</w:t>
      </w:r>
      <w:r w:rsidR="00B30D8F">
        <w:rPr>
          <w:rStyle w:val="Hyperlink"/>
          <w:color w:val="auto"/>
          <w:u w:val="none"/>
        </w:rPr>
        <w:t xml:space="preserve"> and (2) Legal opinion on Article 12</w:t>
      </w:r>
      <w:r>
        <w:rPr>
          <w:rStyle w:val="Hyperlink"/>
          <w:color w:val="auto"/>
          <w:u w:val="none"/>
        </w:rPr>
        <w:t xml:space="preserve"> </w:t>
      </w:r>
      <w:hyperlink r:id="rId12" w:history="1">
        <w:r w:rsidRPr="00923BC4">
          <w:rPr>
            <w:rStyle w:val="Hyperlink"/>
          </w:rPr>
          <w:t>http://www.internationaldisabilityalliance.org/en/ida-position-papers-and-statements</w:t>
        </w:r>
      </w:hyperlink>
      <w:r>
        <w:rPr>
          <w:rStyle w:val="Hyperlink"/>
          <w:color w:val="auto"/>
          <w:u w:val="none"/>
        </w:rPr>
        <w:t xml:space="preserve"> </w:t>
      </w:r>
    </w:p>
    <w:p w:rsidR="00F269DD" w:rsidRPr="00F269DD" w:rsidRDefault="00F269DD" w:rsidP="00F269DD">
      <w:pPr>
        <w:pStyle w:val="ListParagraph"/>
        <w:spacing w:line="276" w:lineRule="auto"/>
        <w:rPr>
          <w:sz w:val="24"/>
          <w:szCs w:val="24"/>
        </w:rPr>
      </w:pPr>
    </w:p>
    <w:sectPr w:rsidR="00F269DD" w:rsidRPr="00F269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61" w:rsidRDefault="00787F61" w:rsidP="006259A9">
      <w:r>
        <w:separator/>
      </w:r>
    </w:p>
  </w:endnote>
  <w:endnote w:type="continuationSeparator" w:id="0">
    <w:p w:rsidR="00787F61" w:rsidRDefault="00787F61" w:rsidP="0062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61" w:rsidRDefault="00787F61" w:rsidP="006259A9">
      <w:r>
        <w:separator/>
      </w:r>
    </w:p>
  </w:footnote>
  <w:footnote w:type="continuationSeparator" w:id="0">
    <w:p w:rsidR="00787F61" w:rsidRDefault="00787F61" w:rsidP="00625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45DF"/>
    <w:multiLevelType w:val="hybridMultilevel"/>
    <w:tmpl w:val="4CB8841C"/>
    <w:lvl w:ilvl="0" w:tplc="96687E6A">
      <w:start w:val="1"/>
      <w:numFmt w:val="decimal"/>
      <w:lvlText w:val="%1)"/>
      <w:lvlJc w:val="left"/>
      <w:pPr>
        <w:ind w:left="720" w:hanging="360"/>
      </w:pPr>
      <w:rPr>
        <w:sz w:val="20"/>
        <w:szCs w:val="2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A1"/>
    <w:rsid w:val="00017C80"/>
    <w:rsid w:val="000239F2"/>
    <w:rsid w:val="000240A6"/>
    <w:rsid w:val="00026B5C"/>
    <w:rsid w:val="0004660D"/>
    <w:rsid w:val="00053492"/>
    <w:rsid w:val="000C630C"/>
    <w:rsid w:val="00101532"/>
    <w:rsid w:val="001028D0"/>
    <w:rsid w:val="00110161"/>
    <w:rsid w:val="00122BD2"/>
    <w:rsid w:val="00147074"/>
    <w:rsid w:val="00150358"/>
    <w:rsid w:val="00152676"/>
    <w:rsid w:val="00153764"/>
    <w:rsid w:val="00167551"/>
    <w:rsid w:val="0017628F"/>
    <w:rsid w:val="001A560F"/>
    <w:rsid w:val="001B428E"/>
    <w:rsid w:val="001E0D78"/>
    <w:rsid w:val="001E7974"/>
    <w:rsid w:val="002258C6"/>
    <w:rsid w:val="00266E0F"/>
    <w:rsid w:val="002964A1"/>
    <w:rsid w:val="002C55E0"/>
    <w:rsid w:val="002E4551"/>
    <w:rsid w:val="002F11BD"/>
    <w:rsid w:val="00303C7E"/>
    <w:rsid w:val="003146E1"/>
    <w:rsid w:val="00322709"/>
    <w:rsid w:val="00333AFA"/>
    <w:rsid w:val="0036455C"/>
    <w:rsid w:val="00366D13"/>
    <w:rsid w:val="00382735"/>
    <w:rsid w:val="003D50B6"/>
    <w:rsid w:val="003E6156"/>
    <w:rsid w:val="003F6DB5"/>
    <w:rsid w:val="003F76C2"/>
    <w:rsid w:val="00405582"/>
    <w:rsid w:val="00412D38"/>
    <w:rsid w:val="00452C0A"/>
    <w:rsid w:val="00454CB4"/>
    <w:rsid w:val="00464C9B"/>
    <w:rsid w:val="00470810"/>
    <w:rsid w:val="004954FF"/>
    <w:rsid w:val="004A35CC"/>
    <w:rsid w:val="004B4914"/>
    <w:rsid w:val="004C3661"/>
    <w:rsid w:val="004E4409"/>
    <w:rsid w:val="004E6ACD"/>
    <w:rsid w:val="00517AF0"/>
    <w:rsid w:val="005247F2"/>
    <w:rsid w:val="00531D65"/>
    <w:rsid w:val="00551C67"/>
    <w:rsid w:val="00554025"/>
    <w:rsid w:val="00560C02"/>
    <w:rsid w:val="00581AF0"/>
    <w:rsid w:val="005B6192"/>
    <w:rsid w:val="005C11DD"/>
    <w:rsid w:val="00610E62"/>
    <w:rsid w:val="006259A9"/>
    <w:rsid w:val="006325D4"/>
    <w:rsid w:val="00632BDF"/>
    <w:rsid w:val="00681886"/>
    <w:rsid w:val="0069023C"/>
    <w:rsid w:val="006B54BB"/>
    <w:rsid w:val="006D56C8"/>
    <w:rsid w:val="006D5769"/>
    <w:rsid w:val="006E67EA"/>
    <w:rsid w:val="006F71CE"/>
    <w:rsid w:val="00707ED5"/>
    <w:rsid w:val="007279EA"/>
    <w:rsid w:val="0073504D"/>
    <w:rsid w:val="00735F64"/>
    <w:rsid w:val="0075243C"/>
    <w:rsid w:val="00753BB0"/>
    <w:rsid w:val="007631A1"/>
    <w:rsid w:val="0076429F"/>
    <w:rsid w:val="00767621"/>
    <w:rsid w:val="00780BC5"/>
    <w:rsid w:val="00787F61"/>
    <w:rsid w:val="00796746"/>
    <w:rsid w:val="007A310D"/>
    <w:rsid w:val="007A5E20"/>
    <w:rsid w:val="007B0EE4"/>
    <w:rsid w:val="007B675A"/>
    <w:rsid w:val="007C3B2C"/>
    <w:rsid w:val="007E0A93"/>
    <w:rsid w:val="007F06AB"/>
    <w:rsid w:val="007F727B"/>
    <w:rsid w:val="00840ECA"/>
    <w:rsid w:val="00852405"/>
    <w:rsid w:val="00856644"/>
    <w:rsid w:val="00871D63"/>
    <w:rsid w:val="0089313B"/>
    <w:rsid w:val="008955E6"/>
    <w:rsid w:val="008C34D2"/>
    <w:rsid w:val="008E2002"/>
    <w:rsid w:val="008E6A00"/>
    <w:rsid w:val="008E7A85"/>
    <w:rsid w:val="00917879"/>
    <w:rsid w:val="00926504"/>
    <w:rsid w:val="00934C01"/>
    <w:rsid w:val="00944F38"/>
    <w:rsid w:val="009848CE"/>
    <w:rsid w:val="009A7E2C"/>
    <w:rsid w:val="009B0993"/>
    <w:rsid w:val="009D74F8"/>
    <w:rsid w:val="00A052B4"/>
    <w:rsid w:val="00A35560"/>
    <w:rsid w:val="00A519CC"/>
    <w:rsid w:val="00A53C8A"/>
    <w:rsid w:val="00A8670D"/>
    <w:rsid w:val="00AA2187"/>
    <w:rsid w:val="00AB29C0"/>
    <w:rsid w:val="00AD07C3"/>
    <w:rsid w:val="00AD4A0A"/>
    <w:rsid w:val="00AE2A32"/>
    <w:rsid w:val="00B00D68"/>
    <w:rsid w:val="00B23F92"/>
    <w:rsid w:val="00B30D8F"/>
    <w:rsid w:val="00B34CC4"/>
    <w:rsid w:val="00B51C60"/>
    <w:rsid w:val="00B877A0"/>
    <w:rsid w:val="00B96033"/>
    <w:rsid w:val="00BC4BFF"/>
    <w:rsid w:val="00BE345A"/>
    <w:rsid w:val="00BE3F3B"/>
    <w:rsid w:val="00C05B25"/>
    <w:rsid w:val="00C3478C"/>
    <w:rsid w:val="00C51399"/>
    <w:rsid w:val="00C61CD7"/>
    <w:rsid w:val="00C669A0"/>
    <w:rsid w:val="00C8367A"/>
    <w:rsid w:val="00CC14DF"/>
    <w:rsid w:val="00CC6E56"/>
    <w:rsid w:val="00CD42E4"/>
    <w:rsid w:val="00CE5736"/>
    <w:rsid w:val="00CF5372"/>
    <w:rsid w:val="00D11E28"/>
    <w:rsid w:val="00D13CB6"/>
    <w:rsid w:val="00D17DFD"/>
    <w:rsid w:val="00D231DE"/>
    <w:rsid w:val="00D246A1"/>
    <w:rsid w:val="00D37D3F"/>
    <w:rsid w:val="00D50BC2"/>
    <w:rsid w:val="00D9011F"/>
    <w:rsid w:val="00D90ABB"/>
    <w:rsid w:val="00D943F2"/>
    <w:rsid w:val="00DA18CC"/>
    <w:rsid w:val="00DE0ADF"/>
    <w:rsid w:val="00DF043A"/>
    <w:rsid w:val="00E26A56"/>
    <w:rsid w:val="00E51E16"/>
    <w:rsid w:val="00E856A6"/>
    <w:rsid w:val="00EB1FF8"/>
    <w:rsid w:val="00EC6CF5"/>
    <w:rsid w:val="00EC72F2"/>
    <w:rsid w:val="00ED26C6"/>
    <w:rsid w:val="00EE1491"/>
    <w:rsid w:val="00EF4B63"/>
    <w:rsid w:val="00F070D1"/>
    <w:rsid w:val="00F26040"/>
    <w:rsid w:val="00F269DD"/>
    <w:rsid w:val="00F4157F"/>
    <w:rsid w:val="00F4765F"/>
    <w:rsid w:val="00F57456"/>
    <w:rsid w:val="00F71370"/>
    <w:rsid w:val="00F73521"/>
    <w:rsid w:val="00F73ECF"/>
    <w:rsid w:val="00F825F2"/>
    <w:rsid w:val="00FB2202"/>
    <w:rsid w:val="00FC0D6E"/>
    <w:rsid w:val="00FD7C63"/>
    <w:rsid w:val="00FE1E81"/>
    <w:rsid w:val="00FE2970"/>
    <w:rsid w:val="00FE4A8B"/>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CF922-B15E-46AE-BE59-AC2CA78C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1A1"/>
    <w:pPr>
      <w:widowControl w:val="0"/>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59A9"/>
  </w:style>
  <w:style w:type="character" w:customStyle="1" w:styleId="FootnoteTextChar">
    <w:name w:val="Footnote Text Char"/>
    <w:basedOn w:val="DefaultParagraphFont"/>
    <w:link w:val="FootnoteText"/>
    <w:uiPriority w:val="99"/>
    <w:semiHidden/>
    <w:rsid w:val="006259A9"/>
    <w:rPr>
      <w:rFonts w:ascii="Times New Roman" w:eastAsia="Times New Roman" w:hAnsi="Times New Roman" w:cs="Times New Roman"/>
      <w:sz w:val="20"/>
      <w:szCs w:val="20"/>
      <w:lang w:val="en-US" w:eastAsia="ar-SA"/>
    </w:rPr>
  </w:style>
  <w:style w:type="character" w:styleId="FootnoteReference">
    <w:name w:val="footnote reference"/>
    <w:basedOn w:val="DefaultParagraphFont"/>
    <w:uiPriority w:val="99"/>
    <w:semiHidden/>
    <w:unhideWhenUsed/>
    <w:rsid w:val="006259A9"/>
    <w:rPr>
      <w:vertAlign w:val="superscript"/>
    </w:rPr>
  </w:style>
  <w:style w:type="character" w:styleId="Hyperlink">
    <w:name w:val="Hyperlink"/>
    <w:basedOn w:val="DefaultParagraphFont"/>
    <w:uiPriority w:val="99"/>
    <w:unhideWhenUsed/>
    <w:rsid w:val="00C51399"/>
    <w:rPr>
      <w:color w:val="0563C1" w:themeColor="hyperlink"/>
      <w:u w:val="single"/>
    </w:rPr>
  </w:style>
  <w:style w:type="character" w:styleId="FollowedHyperlink">
    <w:name w:val="FollowedHyperlink"/>
    <w:basedOn w:val="DefaultParagraphFont"/>
    <w:uiPriority w:val="99"/>
    <w:semiHidden/>
    <w:unhideWhenUsed/>
    <w:rsid w:val="0017628F"/>
    <w:rPr>
      <w:color w:val="954F72" w:themeColor="followedHyperlink"/>
      <w:u w:val="single"/>
    </w:rPr>
  </w:style>
  <w:style w:type="paragraph" w:styleId="EndnoteText">
    <w:name w:val="endnote text"/>
    <w:basedOn w:val="Normal"/>
    <w:link w:val="EndnoteTextChar"/>
    <w:uiPriority w:val="99"/>
    <w:semiHidden/>
    <w:unhideWhenUsed/>
    <w:rsid w:val="00DA18CC"/>
  </w:style>
  <w:style w:type="character" w:customStyle="1" w:styleId="EndnoteTextChar">
    <w:name w:val="Endnote Text Char"/>
    <w:basedOn w:val="DefaultParagraphFont"/>
    <w:link w:val="EndnoteText"/>
    <w:uiPriority w:val="99"/>
    <w:semiHidden/>
    <w:rsid w:val="00DA18CC"/>
    <w:rPr>
      <w:rFonts w:ascii="Times New Roman" w:eastAsia="Times New Roman" w:hAnsi="Times New Roman" w:cs="Times New Roman"/>
      <w:sz w:val="20"/>
      <w:szCs w:val="20"/>
      <w:lang w:val="en-US" w:eastAsia="ar-SA"/>
    </w:rPr>
  </w:style>
  <w:style w:type="character" w:styleId="EndnoteReference">
    <w:name w:val="endnote reference"/>
    <w:basedOn w:val="DefaultParagraphFont"/>
    <w:uiPriority w:val="99"/>
    <w:semiHidden/>
    <w:unhideWhenUsed/>
    <w:rsid w:val="00DA18CC"/>
    <w:rPr>
      <w:vertAlign w:val="superscript"/>
    </w:rPr>
  </w:style>
  <w:style w:type="paragraph" w:styleId="ListParagraph">
    <w:name w:val="List Paragraph"/>
    <w:basedOn w:val="Normal"/>
    <w:uiPriority w:val="34"/>
    <w:qFormat/>
    <w:rsid w:val="00D9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89966/1/9789241506021_eng.pdf?ua=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nationaldisabilityalliance.org/en/ida-position-papers-and-stat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ho.org/hq/index.php?option=com_docman&amp;task=doc_download&amp;gid=26722&amp;Itemid=270&amp;lang=en" TargetMode="External"/><Relationship Id="rId5" Type="http://schemas.openxmlformats.org/officeDocument/2006/relationships/webSettings" Target="webSettings.xml"/><Relationship Id="rId10" Type="http://schemas.openxmlformats.org/officeDocument/2006/relationships/hyperlink" Target="http://www.ipu.org/PDF/publications/disabilities-e.pdf" TargetMode="External"/><Relationship Id="rId4" Type="http://schemas.openxmlformats.org/officeDocument/2006/relationships/settings" Target="settings.xml"/><Relationship Id="rId9" Type="http://schemas.openxmlformats.org/officeDocument/2006/relationships/hyperlink" Target="http://www.ohchr.org/Documents/Publications/training9chapter1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4B97-C7AA-4831-997A-F9B6AB20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9868</TotalTime>
  <Pages>7</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Price-Humphrey</dc:creator>
  <cp:keywords/>
  <dc:description/>
  <cp:lastModifiedBy>June Price-Humphrey</cp:lastModifiedBy>
  <cp:revision>66</cp:revision>
  <dcterms:created xsi:type="dcterms:W3CDTF">2015-06-22T07:04:00Z</dcterms:created>
  <dcterms:modified xsi:type="dcterms:W3CDTF">2015-07-10T11:39:00Z</dcterms:modified>
</cp:coreProperties>
</file>