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D45F75" w:rsidTr="00881E10">
        <w:tc>
          <w:tcPr>
            <w:tcW w:w="9016" w:type="dxa"/>
            <w:gridSpan w:val="2"/>
          </w:tcPr>
          <w:p w:rsidR="00D45F75" w:rsidRDefault="00D45F75" w:rsidP="00D45F75">
            <w:pPr>
              <w:spacing w:line="276" w:lineRule="auto"/>
              <w:jc w:val="center"/>
              <w:rPr>
                <w:rFonts w:ascii="Cambria" w:hAnsi="Cambria"/>
                <w:color w:val="FF0000"/>
                <w:sz w:val="24"/>
                <w:szCs w:val="24"/>
              </w:rPr>
            </w:pPr>
            <w:bookmarkStart w:id="0" w:name="_GoBack"/>
            <w:bookmarkEnd w:id="0"/>
            <w:r>
              <w:rPr>
                <w:rFonts w:ascii="Cambria" w:hAnsi="Cambria"/>
                <w:color w:val="FF0000"/>
                <w:sz w:val="24"/>
                <w:szCs w:val="24"/>
              </w:rPr>
              <w:t>Advantages</w:t>
            </w:r>
          </w:p>
        </w:tc>
      </w:tr>
      <w:tr w:rsidR="00D45F75" w:rsidTr="00D45F75">
        <w:tc>
          <w:tcPr>
            <w:tcW w:w="4508" w:type="dxa"/>
          </w:tcPr>
          <w:p w:rsidR="00D45F75" w:rsidRDefault="00D45F75" w:rsidP="00D45F75">
            <w:pPr>
              <w:spacing w:line="276" w:lineRule="auto"/>
              <w:jc w:val="center"/>
              <w:rPr>
                <w:rFonts w:ascii="Cambria" w:hAnsi="Cambria"/>
                <w:color w:val="FF0000"/>
                <w:sz w:val="24"/>
                <w:szCs w:val="24"/>
              </w:rPr>
            </w:pPr>
            <w:r w:rsidRPr="0030454D">
              <w:rPr>
                <w:rFonts w:ascii="Cambria" w:hAnsi="Cambria"/>
                <w:color w:val="FF0000"/>
                <w:sz w:val="24"/>
                <w:szCs w:val="24"/>
              </w:rPr>
              <w:t>Mental health inspectorates</w:t>
            </w:r>
          </w:p>
        </w:tc>
        <w:tc>
          <w:tcPr>
            <w:tcW w:w="4508" w:type="dxa"/>
          </w:tcPr>
          <w:p w:rsidR="00D45F75" w:rsidRDefault="00D45F75" w:rsidP="00D45F75">
            <w:pPr>
              <w:spacing w:line="276" w:lineRule="auto"/>
              <w:jc w:val="center"/>
              <w:rPr>
                <w:rFonts w:ascii="Cambria" w:hAnsi="Cambria"/>
                <w:color w:val="FF0000"/>
                <w:sz w:val="24"/>
                <w:szCs w:val="24"/>
              </w:rPr>
            </w:pPr>
            <w:r>
              <w:rPr>
                <w:rFonts w:ascii="Cambria" w:hAnsi="Cambria"/>
                <w:color w:val="FF0000"/>
                <w:sz w:val="24"/>
                <w:szCs w:val="24"/>
              </w:rPr>
              <w:t>I</w:t>
            </w:r>
            <w:r w:rsidRPr="00A5754F">
              <w:rPr>
                <w:rFonts w:ascii="Cambria" w:hAnsi="Cambria"/>
                <w:color w:val="FF0000"/>
                <w:sz w:val="24"/>
                <w:szCs w:val="24"/>
              </w:rPr>
              <w:t>nternational NGO</w:t>
            </w:r>
          </w:p>
        </w:tc>
      </w:tr>
      <w:tr w:rsidR="00D45F75" w:rsidTr="00D45F75">
        <w:tc>
          <w:tcPr>
            <w:tcW w:w="4508" w:type="dxa"/>
          </w:tcPr>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 xml:space="preserve">Mental health inspectorates, depending on the powers and functions given them by the law, may scrutinize all mental health facilities assess mental health policies and legislation and make recommendations for change on the basis of findings. Inspectorates may examine actual facilities, care pathways, referral systems, care planning, treatment interventions and discharge protocols and quality of care. </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 xml:space="preserve">They may also be responsible for monitoring and ensuring that the relevant legal provisions are being respected and implemented and that government policy and legislation meets international human rights standards. </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 xml:space="preserve">The advantage of having inspectorates is human rights in mental health is very well promoted. </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 xml:space="preserve">By undertaking regular visits, conducting inspections, being available to hear complaints (and acting on these), and generally advancing and upholding the rights of people with mental disabilities, human rights can be genuinely promoted by inspectorates. </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The very existence of such inspectorates and the awareness by hospital staff or other service providers that they are being “watched” is alone likely to impact on care and the way service users are treated.</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lastRenderedPageBreak/>
              <w:t xml:space="preserve">Moreover, awareness that action can be taken if abuses are found, in all likelihood results in fewer abuses occurring. </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 xml:space="preserve">Inspectorates may have powers to act directly on services and may, for example, refuse accreditation to a facility, apply sanctions or even close down a hospital if abuses are found. Where they do not have this authority the inspectorate should make the appropriate recommendation to the authority that can act directly against a facility. </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In addition to providing the relevant establishments with a report, the findings and recommendations of inspectorates if given to a higher service authority or directly to the political head concerned or to the legislative authority such as parliament then the appropriate decision for the concerned establishment should be taken which may be in favour of the service user anyway.</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Mental health inspectorates can also make use of the national legal system. For example if they find that a staff member at an establishment has abused a service user, they may facilitate or take legal action against such person.</w:t>
            </w:r>
          </w:p>
          <w:p w:rsidR="00D45F75" w:rsidRPr="00D45F75" w:rsidRDefault="00D45F75" w:rsidP="00D45F75">
            <w:pPr>
              <w:pStyle w:val="ListParagraph"/>
              <w:numPr>
                <w:ilvl w:val="0"/>
                <w:numId w:val="1"/>
              </w:numPr>
              <w:spacing w:line="276" w:lineRule="auto"/>
              <w:rPr>
                <w:rFonts w:ascii="Cambria" w:hAnsi="Cambria"/>
                <w:sz w:val="24"/>
                <w:szCs w:val="24"/>
              </w:rPr>
            </w:pPr>
            <w:r w:rsidRPr="00D45F75">
              <w:rPr>
                <w:rFonts w:ascii="Cambria" w:hAnsi="Cambria"/>
                <w:sz w:val="24"/>
                <w:szCs w:val="24"/>
              </w:rPr>
              <w:t xml:space="preserve">Where an inspectorate has been set up by law or even by government commission and is allowed to operate independently it has the double advantage of being able to investigate without </w:t>
            </w:r>
            <w:r w:rsidRPr="00D45F75">
              <w:rPr>
                <w:rFonts w:ascii="Cambria" w:hAnsi="Cambria"/>
                <w:sz w:val="24"/>
                <w:szCs w:val="24"/>
              </w:rPr>
              <w:lastRenderedPageBreak/>
              <w:t>interference and has direct access to political and health authorities, service providers as well as the media and lobby groups.</w:t>
            </w:r>
          </w:p>
          <w:p w:rsidR="00D45F75" w:rsidRPr="00D45F75" w:rsidRDefault="00D45F75" w:rsidP="00D45F75">
            <w:pPr>
              <w:pStyle w:val="ListParagraph"/>
              <w:numPr>
                <w:ilvl w:val="0"/>
                <w:numId w:val="1"/>
              </w:numPr>
              <w:spacing w:line="276" w:lineRule="auto"/>
              <w:rPr>
                <w:rFonts w:ascii="Cambria" w:hAnsi="Cambria"/>
                <w:color w:val="FF0000"/>
                <w:sz w:val="24"/>
                <w:szCs w:val="24"/>
              </w:rPr>
            </w:pPr>
            <w:r w:rsidRPr="00D45F75">
              <w:rPr>
                <w:rFonts w:ascii="Cambria" w:hAnsi="Cambria"/>
                <w:sz w:val="24"/>
                <w:szCs w:val="24"/>
              </w:rPr>
              <w:t>However, a central question with regard to the effectiveness of independent inspectorates is what is done with the information collected and what enforcement powers do they have? Most inspectorates, in countries where they currently exist, publish reports on an annual basis or in relation to each visit or inquiry. However the “power” of such reports (and hence in some situations the power of the monitoring bodies themselves) appears to vary. In some circumstances the report is given, in the first instance, to the establishments or services themselves to act upon. Receiving such reports and recommendations can be highly effective in promoting human rights where there is a serious commitment to service delivery based on human rights. However in situations where there is less dedication to the principles of human rights, enforcement measures, sanctions or incentives may be required. Measures to ensure that the findings of the inspectorate are acted upon are fundamental. In order to fulfil the function of inspection it is useful to have a well-conceived tool to guide inspections and assessments.</w:t>
            </w:r>
          </w:p>
        </w:tc>
        <w:tc>
          <w:tcPr>
            <w:tcW w:w="4508" w:type="dxa"/>
          </w:tcPr>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lastRenderedPageBreak/>
              <w:t xml:space="preserve">International NGOs and professional organization have been highly active in documenting violations of human rights in mental health for a number of years. </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For example investigations into mental health services in the Soviet bloc, particularly in the late 1970s and1980s, unveiled evidence of the abuse of psychiatry based on political belief as well as abusive conditions in mental health facilities (Geneva Initiative in Psychiatry). </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In South Africa, in the 1970’s, a delegation from the American Psychiatric Association conducted visits to psychiatric institutions and the WHO compiled a report on Apartheid mental health care. </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Both produced damning reports on racial discrimination in services and conditions in facilities, especially for black people (APA, 1979; WHO, 1977). In both instances the relevant governments of the time denied such abuses. NGO’s however continued to advocate and lobby for the “proper” use of psychiatry. Over the past 10-15 years  international and regional NGOs have been highly active (particularly in certain regions) in monitoring violations and working with local groups, including mental health service user, family and carer groups and governments, in order to bring </w:t>
            </w:r>
            <w:r w:rsidRPr="00D45F75">
              <w:rPr>
                <w:rFonts w:ascii="Cambria" w:hAnsi="Cambria"/>
                <w:sz w:val="24"/>
                <w:szCs w:val="24"/>
              </w:rPr>
              <w:lastRenderedPageBreak/>
              <w:t>about positive changes in the area of mental health.</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There are already examples of NGOs who have conducted inspections of facilities in countries with suspected violations of human rights.</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A significant advantage of monitoring by NGOs is their independence. Unlike bodies working for, or even appointed by, governments, nongovernmental organizations are usually able to deeply probe into violations of rights without fear of losing position or favour. </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Staff and service users may also feel freer to interact and discuss human rights violations with NGOs due to their independence than with government or government appointed officials. However some governments are reluctant to give NGOs free access to facilities, staff or service users to monitor and interview them and this can be a major limitation for NGOs. </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If an NGO decides to conduct investigations without the permission of the government, this can put its members at risk of violence or detention. In some countries governments and government linked services work closely with NGOs, take careful heed of observations and reports, including reports on human rights abuses, and act on the recommendations made to them. In such cases monitoring by NGOs </w:t>
            </w:r>
            <w:r w:rsidRPr="00D45F75">
              <w:rPr>
                <w:rFonts w:ascii="Cambria" w:hAnsi="Cambria"/>
                <w:sz w:val="24"/>
                <w:szCs w:val="24"/>
              </w:rPr>
              <w:lastRenderedPageBreak/>
              <w:t>can be extremely powerful in bringing about change.</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Some NGOs may work exclusively with governments and strategically decide that their ongoing ability to impact on human rights is through close collaboration with government - and by not alienating or embarrassing them. </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However this may lead to complacency by government who may then not act on the findings. This in turn becomes a serious limitation on the effectiveness of the monitoring by the NGO. Most NGOs feel that their greatest impact is likely to results from advocacy (local and international) and public pressure either in addition to or instead of engagement with government. </w:t>
            </w:r>
          </w:p>
          <w:p w:rsidR="00D45F75" w:rsidRPr="00D45F75" w:rsidRDefault="00D45F75" w:rsidP="00D45F75">
            <w:pPr>
              <w:pStyle w:val="ListParagraph"/>
              <w:numPr>
                <w:ilvl w:val="0"/>
                <w:numId w:val="2"/>
              </w:numPr>
              <w:spacing w:line="276" w:lineRule="auto"/>
              <w:rPr>
                <w:rFonts w:ascii="Cambria" w:hAnsi="Cambria"/>
                <w:sz w:val="24"/>
                <w:szCs w:val="24"/>
              </w:rPr>
            </w:pPr>
            <w:r w:rsidRPr="00D45F75">
              <w:rPr>
                <w:rFonts w:ascii="Cambria" w:hAnsi="Cambria"/>
                <w:sz w:val="24"/>
                <w:szCs w:val="24"/>
              </w:rPr>
              <w:t xml:space="preserve">Monitoring thus becomes part of a comprehensive strategy which may involve such activities as exposure of abuses of rights through the media, publication of photographs and videos, training and mobilizing consumers to demand their rights and so on. Such activities may or may not bring about short-term changes to the lives of people with mental disabilities depending on the responses of government. </w:t>
            </w:r>
          </w:p>
          <w:p w:rsidR="00D45F75" w:rsidRPr="00D45F75" w:rsidRDefault="00D45F75" w:rsidP="00D45F75">
            <w:pPr>
              <w:pStyle w:val="ListParagraph"/>
              <w:numPr>
                <w:ilvl w:val="0"/>
                <w:numId w:val="2"/>
              </w:numPr>
              <w:spacing w:line="276" w:lineRule="auto"/>
              <w:rPr>
                <w:rFonts w:ascii="Cambria" w:hAnsi="Cambria"/>
                <w:color w:val="FF0000"/>
                <w:sz w:val="24"/>
                <w:szCs w:val="24"/>
              </w:rPr>
            </w:pPr>
            <w:r w:rsidRPr="00D45F75">
              <w:rPr>
                <w:rFonts w:ascii="Cambria" w:hAnsi="Cambria"/>
                <w:sz w:val="24"/>
                <w:szCs w:val="24"/>
              </w:rPr>
              <w:t xml:space="preserve">Many NGOs are made up entirely of, or have some members who are mental health service users or family members who have a direct insight into the experience of human rights abuses and are </w:t>
            </w:r>
            <w:r w:rsidRPr="00D45F75">
              <w:rPr>
                <w:rFonts w:ascii="Cambria" w:hAnsi="Cambria"/>
                <w:sz w:val="24"/>
                <w:szCs w:val="24"/>
              </w:rPr>
              <w:lastRenderedPageBreak/>
              <w:t>thereby able to identify problem areas and advocate for change.</w:t>
            </w:r>
          </w:p>
        </w:tc>
      </w:tr>
    </w:tbl>
    <w:p w:rsidR="00D45F75" w:rsidRDefault="00D45F75" w:rsidP="002762D3">
      <w:pPr>
        <w:spacing w:after="0" w:line="276" w:lineRule="auto"/>
        <w:rPr>
          <w:rFonts w:ascii="Cambria" w:hAnsi="Cambria"/>
          <w:color w:val="FF0000"/>
          <w:sz w:val="24"/>
          <w:szCs w:val="24"/>
        </w:rPr>
      </w:pPr>
    </w:p>
    <w:p w:rsidR="00A5754F" w:rsidRDefault="00CC1374" w:rsidP="00A9324C">
      <w:pPr>
        <w:spacing w:line="276" w:lineRule="auto"/>
        <w:rPr>
          <w:rFonts w:ascii="Cambria" w:hAnsi="Cambria"/>
          <w:sz w:val="24"/>
          <w:szCs w:val="24"/>
        </w:rPr>
      </w:pPr>
      <w:r w:rsidRPr="00CC1374">
        <w:rPr>
          <w:rFonts w:ascii="Cambria" w:hAnsi="Cambria"/>
          <w:sz w:val="24"/>
          <w:szCs w:val="24"/>
        </w:rPr>
        <w:t xml:space="preserve"> </w:t>
      </w:r>
    </w:p>
    <w:p w:rsidR="00D45F75" w:rsidRDefault="00D45F75">
      <w:pPr>
        <w:rPr>
          <w:rFonts w:ascii="Cambria" w:hAnsi="Cambria"/>
          <w:color w:val="FF0000"/>
          <w:sz w:val="24"/>
          <w:szCs w:val="24"/>
        </w:rPr>
      </w:pPr>
    </w:p>
    <w:tbl>
      <w:tblPr>
        <w:tblStyle w:val="TableGrid"/>
        <w:tblW w:w="0" w:type="auto"/>
        <w:tblLook w:val="04A0" w:firstRow="1" w:lastRow="0" w:firstColumn="1" w:lastColumn="0" w:noHBand="0" w:noVBand="1"/>
      </w:tblPr>
      <w:tblGrid>
        <w:gridCol w:w="4508"/>
        <w:gridCol w:w="4508"/>
      </w:tblGrid>
      <w:tr w:rsidR="00D45F75" w:rsidTr="000A18FC">
        <w:tc>
          <w:tcPr>
            <w:tcW w:w="9016" w:type="dxa"/>
            <w:gridSpan w:val="2"/>
          </w:tcPr>
          <w:p w:rsidR="00D45F75" w:rsidRDefault="00D45F75" w:rsidP="00D45F75">
            <w:pPr>
              <w:jc w:val="center"/>
              <w:rPr>
                <w:rFonts w:ascii="Cambria" w:hAnsi="Cambria"/>
                <w:color w:val="FF0000"/>
                <w:sz w:val="24"/>
                <w:szCs w:val="24"/>
              </w:rPr>
            </w:pPr>
            <w:r w:rsidRPr="00A5754F">
              <w:rPr>
                <w:rFonts w:ascii="Cambria" w:hAnsi="Cambria"/>
                <w:color w:val="FF0000"/>
                <w:sz w:val="24"/>
                <w:szCs w:val="24"/>
              </w:rPr>
              <w:t>Disadvantages</w:t>
            </w:r>
          </w:p>
        </w:tc>
      </w:tr>
      <w:tr w:rsidR="00D45F75" w:rsidTr="00D45F75">
        <w:tc>
          <w:tcPr>
            <w:tcW w:w="4508" w:type="dxa"/>
          </w:tcPr>
          <w:p w:rsidR="00D45F75" w:rsidRDefault="00D45F75" w:rsidP="00D45F75">
            <w:pPr>
              <w:spacing w:line="276" w:lineRule="auto"/>
              <w:jc w:val="center"/>
              <w:rPr>
                <w:rFonts w:ascii="Cambria" w:hAnsi="Cambria"/>
                <w:color w:val="FF0000"/>
                <w:sz w:val="24"/>
                <w:szCs w:val="24"/>
              </w:rPr>
            </w:pPr>
            <w:r w:rsidRPr="0030454D">
              <w:rPr>
                <w:rFonts w:ascii="Cambria" w:hAnsi="Cambria"/>
                <w:color w:val="FF0000"/>
                <w:sz w:val="24"/>
                <w:szCs w:val="24"/>
              </w:rPr>
              <w:t>Mental health inspectorates</w:t>
            </w:r>
          </w:p>
        </w:tc>
        <w:tc>
          <w:tcPr>
            <w:tcW w:w="4508" w:type="dxa"/>
          </w:tcPr>
          <w:p w:rsidR="00D45F75" w:rsidRDefault="00D45F75" w:rsidP="00D45F75">
            <w:pPr>
              <w:spacing w:line="276" w:lineRule="auto"/>
              <w:jc w:val="center"/>
              <w:rPr>
                <w:rFonts w:ascii="Cambria" w:hAnsi="Cambria"/>
                <w:color w:val="FF0000"/>
                <w:sz w:val="24"/>
                <w:szCs w:val="24"/>
              </w:rPr>
            </w:pPr>
            <w:r>
              <w:rPr>
                <w:rFonts w:ascii="Cambria" w:hAnsi="Cambria"/>
                <w:color w:val="FF0000"/>
                <w:sz w:val="24"/>
                <w:szCs w:val="24"/>
              </w:rPr>
              <w:t>I</w:t>
            </w:r>
            <w:r w:rsidRPr="00A5754F">
              <w:rPr>
                <w:rFonts w:ascii="Cambria" w:hAnsi="Cambria"/>
                <w:color w:val="FF0000"/>
                <w:sz w:val="24"/>
                <w:szCs w:val="24"/>
              </w:rPr>
              <w:t>nternational NGO</w:t>
            </w:r>
          </w:p>
        </w:tc>
      </w:tr>
      <w:tr w:rsidR="00D45F75" w:rsidTr="00D45F75">
        <w:tc>
          <w:tcPr>
            <w:tcW w:w="4508" w:type="dxa"/>
          </w:tcPr>
          <w:p w:rsidR="00D45F75" w:rsidRPr="00D45F75" w:rsidRDefault="00D45F75" w:rsidP="00D45F75">
            <w:pPr>
              <w:pStyle w:val="ListParagraph"/>
              <w:numPr>
                <w:ilvl w:val="0"/>
                <w:numId w:val="3"/>
              </w:numPr>
              <w:rPr>
                <w:rFonts w:ascii="Cambria" w:hAnsi="Cambria"/>
                <w:sz w:val="24"/>
                <w:szCs w:val="24"/>
              </w:rPr>
            </w:pPr>
            <w:r w:rsidRPr="00D45F75">
              <w:rPr>
                <w:rFonts w:ascii="Cambria" w:hAnsi="Cambria"/>
                <w:sz w:val="24"/>
                <w:szCs w:val="24"/>
              </w:rPr>
              <w:t xml:space="preserve">When conducting inspections and acting on the findings it is important that sanctions are not simply taken against people, establishments or authorities without simultaneous consultation and collaboration with service providers and those who control budgets. If this is not done properly it is possible that the good intentions of sanctions could even prejudice service user’s care. For example if a decision is made by an independent monitoring body to close an institution because most of the people within it have no reason to be there, and that the conditions are extremely poor (both of which are common), the closure of this facility without ensuring that the service providers have made alternative arrangements for service users, could result in dire consequences for the people within the facility and would not necessarily be a positive move towards better human rights protection for people with mental disabilities. </w:t>
            </w:r>
          </w:p>
          <w:p w:rsidR="00D45F75" w:rsidRPr="00D45F75" w:rsidRDefault="00D45F75" w:rsidP="00D45F75">
            <w:pPr>
              <w:pStyle w:val="ListParagraph"/>
              <w:numPr>
                <w:ilvl w:val="0"/>
                <w:numId w:val="3"/>
              </w:numPr>
              <w:rPr>
                <w:rFonts w:ascii="Cambria" w:hAnsi="Cambria"/>
                <w:sz w:val="24"/>
                <w:szCs w:val="24"/>
              </w:rPr>
            </w:pPr>
            <w:r w:rsidRPr="00D45F75">
              <w:rPr>
                <w:rFonts w:ascii="Cambria" w:hAnsi="Cambria"/>
                <w:sz w:val="24"/>
                <w:szCs w:val="24"/>
              </w:rPr>
              <w:t xml:space="preserve">If inspectorates are giving the report in the media per se then there may be chance of bridging the confidentiality of the person being interviewed. Sometimes it may happen that such steps would not be appreciated by the facility undergoing inspection. </w:t>
            </w:r>
          </w:p>
          <w:p w:rsidR="00D45F75" w:rsidRPr="00D45F75" w:rsidRDefault="00D45F75" w:rsidP="00D45F75">
            <w:pPr>
              <w:pStyle w:val="ListParagraph"/>
              <w:numPr>
                <w:ilvl w:val="0"/>
                <w:numId w:val="3"/>
              </w:numPr>
              <w:rPr>
                <w:rFonts w:ascii="Cambria" w:hAnsi="Cambria"/>
                <w:color w:val="FF0000"/>
                <w:sz w:val="24"/>
                <w:szCs w:val="24"/>
              </w:rPr>
            </w:pPr>
            <w:r w:rsidRPr="00D45F75">
              <w:rPr>
                <w:rFonts w:ascii="Cambria" w:hAnsi="Cambria"/>
                <w:sz w:val="24"/>
                <w:szCs w:val="24"/>
              </w:rPr>
              <w:t xml:space="preserve">Having various professionals in the board may be an issue itself, if they are not trained enough to </w:t>
            </w:r>
            <w:r w:rsidRPr="00D45F75">
              <w:rPr>
                <w:rFonts w:ascii="Cambria" w:hAnsi="Cambria"/>
                <w:sz w:val="24"/>
                <w:szCs w:val="24"/>
              </w:rPr>
              <w:lastRenderedPageBreak/>
              <w:t>eliminate the inter-ratter’s bias. Because doing inspection even with the pre -defined standards and criteria is totally subjective. Even those who belong to the mental health profession may be rigid in accepting the truth and the one who does not have any experience of the mental health profession would has a lot problem in the facility being inspected.</w:t>
            </w:r>
          </w:p>
        </w:tc>
        <w:tc>
          <w:tcPr>
            <w:tcW w:w="4508" w:type="dxa"/>
          </w:tcPr>
          <w:p w:rsidR="00D45F75" w:rsidRPr="00D45F75" w:rsidRDefault="00D45F75" w:rsidP="00D45F75">
            <w:pPr>
              <w:pStyle w:val="ListParagraph"/>
              <w:numPr>
                <w:ilvl w:val="0"/>
                <w:numId w:val="4"/>
              </w:numPr>
              <w:rPr>
                <w:rFonts w:ascii="Cambria" w:hAnsi="Cambria"/>
                <w:sz w:val="24"/>
                <w:szCs w:val="24"/>
              </w:rPr>
            </w:pPr>
            <w:r w:rsidRPr="00D45F75">
              <w:rPr>
                <w:rFonts w:ascii="Cambria" w:hAnsi="Cambria"/>
                <w:sz w:val="24"/>
                <w:szCs w:val="24"/>
              </w:rPr>
              <w:lastRenderedPageBreak/>
              <w:t xml:space="preserve">While in some countries NGOs are taken very seriously and their recommendations are genuinely considered and implemented, in other countries NGOs are regarded merely as “trouble makers” trying to undermine government or as irrelevant. In some extreme situations NGOs may be banned if they advocate for human rights. In any event NGOs should complement rather than replace legal independent oversight. </w:t>
            </w:r>
          </w:p>
          <w:p w:rsidR="00D45F75" w:rsidRPr="00D45F75" w:rsidRDefault="00D45F75" w:rsidP="00D45F75">
            <w:pPr>
              <w:pStyle w:val="ListParagraph"/>
              <w:numPr>
                <w:ilvl w:val="0"/>
                <w:numId w:val="4"/>
              </w:numPr>
              <w:spacing w:line="276" w:lineRule="auto"/>
              <w:rPr>
                <w:rFonts w:ascii="Cambria" w:hAnsi="Cambria"/>
                <w:sz w:val="24"/>
                <w:szCs w:val="24"/>
              </w:rPr>
            </w:pPr>
            <w:r w:rsidRPr="00D45F75">
              <w:rPr>
                <w:rFonts w:ascii="Cambria" w:hAnsi="Cambria"/>
                <w:sz w:val="24"/>
                <w:szCs w:val="24"/>
              </w:rPr>
              <w:t>As the NGO may run separately from the government sometimes it may happen that the reports or suggestions for the violation of the rights might not be heard by government establishment which may give a feeling of not worthy to NGOs and they may have lack of motivation if the subsequent reports face similar results. It may also affect the suffering of the service users as they may feel half heard and it may happen that they mal loose hope from such NGOs.</w:t>
            </w:r>
          </w:p>
          <w:p w:rsidR="00D45F75" w:rsidRPr="00D45F75" w:rsidRDefault="00D45F75" w:rsidP="00D45F75">
            <w:pPr>
              <w:pStyle w:val="ListParagraph"/>
              <w:numPr>
                <w:ilvl w:val="0"/>
                <w:numId w:val="4"/>
              </w:numPr>
              <w:spacing w:line="276" w:lineRule="auto"/>
              <w:rPr>
                <w:rFonts w:ascii="Cambria" w:hAnsi="Cambria"/>
                <w:sz w:val="24"/>
                <w:szCs w:val="24"/>
              </w:rPr>
            </w:pPr>
            <w:r w:rsidRPr="00D45F75">
              <w:rPr>
                <w:rFonts w:ascii="Cambria" w:hAnsi="Cambria"/>
                <w:sz w:val="24"/>
                <w:szCs w:val="24"/>
              </w:rPr>
              <w:t xml:space="preserve">There may also be chance of rigidity of the NGOs in terms of some particular way. As they may have some fixed idea for some criteria or </w:t>
            </w:r>
            <w:proofErr w:type="gramStart"/>
            <w:r w:rsidRPr="00D45F75">
              <w:rPr>
                <w:rFonts w:ascii="Cambria" w:hAnsi="Cambria"/>
                <w:sz w:val="24"/>
                <w:szCs w:val="24"/>
              </w:rPr>
              <w:t>standards.</w:t>
            </w:r>
            <w:proofErr w:type="gramEnd"/>
            <w:r w:rsidRPr="00D45F75">
              <w:rPr>
                <w:rFonts w:ascii="Cambria" w:hAnsi="Cambria"/>
                <w:sz w:val="24"/>
                <w:szCs w:val="24"/>
              </w:rPr>
              <w:t xml:space="preserve"> It is quite dependent on the perception and it may vary at times. What the NGOs feel may not be ground </w:t>
            </w:r>
            <w:r w:rsidRPr="00D45F75">
              <w:rPr>
                <w:rFonts w:ascii="Cambria" w:hAnsi="Cambria"/>
                <w:sz w:val="24"/>
                <w:szCs w:val="24"/>
              </w:rPr>
              <w:lastRenderedPageBreak/>
              <w:t>reality and what the reality may not be brought up to the surface. In such condition labelling or reporting any facility with negative remarks may increase the stigma of the respective establishment and people may fear further taking the required benefit from the establishment.</w:t>
            </w:r>
          </w:p>
          <w:p w:rsidR="00D45F75" w:rsidRPr="00D45F75" w:rsidRDefault="00D45F75" w:rsidP="00D45F75">
            <w:pPr>
              <w:pStyle w:val="ListParagraph"/>
              <w:numPr>
                <w:ilvl w:val="0"/>
                <w:numId w:val="4"/>
              </w:numPr>
              <w:spacing w:line="276" w:lineRule="auto"/>
              <w:rPr>
                <w:rFonts w:ascii="Cambria" w:hAnsi="Cambria"/>
                <w:sz w:val="24"/>
                <w:szCs w:val="24"/>
              </w:rPr>
            </w:pPr>
            <w:r w:rsidRPr="00D45F75">
              <w:rPr>
                <w:rFonts w:ascii="Cambria" w:hAnsi="Cambria"/>
                <w:sz w:val="24"/>
                <w:szCs w:val="24"/>
              </w:rPr>
              <w:t>A limitation of NGOs (especially in developing countries) is that they often run on a very small budget that makes it difficult to undertake the investigations, inspections and advocacy work required.</w:t>
            </w:r>
          </w:p>
          <w:p w:rsidR="00D45F75" w:rsidRPr="00D45F75" w:rsidRDefault="00D45F75" w:rsidP="00D45F75">
            <w:pPr>
              <w:pStyle w:val="ListParagraph"/>
              <w:numPr>
                <w:ilvl w:val="0"/>
                <w:numId w:val="4"/>
              </w:numPr>
              <w:rPr>
                <w:rFonts w:ascii="Cambria" w:hAnsi="Cambria"/>
                <w:color w:val="FF0000"/>
                <w:sz w:val="24"/>
                <w:szCs w:val="24"/>
              </w:rPr>
            </w:pPr>
            <w:r w:rsidRPr="00D45F75">
              <w:rPr>
                <w:rFonts w:ascii="Cambria" w:hAnsi="Cambria"/>
                <w:sz w:val="24"/>
                <w:szCs w:val="24"/>
              </w:rPr>
              <w:t>Along with that the sustainability of the NGO may be of question. It would not be of any benefit if the NGO does some advantageous activity for users and then once some changes has started to occur then the NGO does not survive and due to poor involvement, motivation or other reason the beneficiary things stop being done.</w:t>
            </w:r>
          </w:p>
        </w:tc>
      </w:tr>
    </w:tbl>
    <w:p w:rsidR="0030454D" w:rsidRDefault="0030454D">
      <w:pPr>
        <w:rPr>
          <w:rFonts w:ascii="Cambria" w:hAnsi="Cambria"/>
          <w:sz w:val="24"/>
          <w:szCs w:val="24"/>
        </w:rPr>
      </w:pPr>
    </w:p>
    <w:p w:rsidR="0030454D" w:rsidRDefault="0030454D">
      <w:pPr>
        <w:rPr>
          <w:rFonts w:ascii="Cambria" w:hAnsi="Cambria"/>
          <w:sz w:val="24"/>
          <w:szCs w:val="24"/>
        </w:rPr>
      </w:pPr>
    </w:p>
    <w:p w:rsidR="0030454D" w:rsidRDefault="0030454D">
      <w:pPr>
        <w:rPr>
          <w:rFonts w:ascii="Cambria" w:hAnsi="Cambria"/>
          <w:sz w:val="24"/>
          <w:szCs w:val="24"/>
        </w:rPr>
      </w:pPr>
    </w:p>
    <w:p w:rsidR="00CC1374" w:rsidRDefault="00CC1374" w:rsidP="00CC1374">
      <w:pPr>
        <w:spacing w:line="276" w:lineRule="auto"/>
        <w:rPr>
          <w:rFonts w:ascii="Cambria" w:hAnsi="Cambria"/>
          <w:sz w:val="24"/>
          <w:szCs w:val="24"/>
        </w:rPr>
      </w:pPr>
    </w:p>
    <w:p w:rsidR="006A6855" w:rsidRDefault="006A6855">
      <w:pPr>
        <w:rPr>
          <w:rFonts w:ascii="Cambria" w:hAnsi="Cambria"/>
          <w:sz w:val="24"/>
          <w:szCs w:val="24"/>
        </w:rPr>
      </w:pPr>
    </w:p>
    <w:p w:rsidR="00EC6187" w:rsidRPr="002762D3" w:rsidRDefault="00EC6187" w:rsidP="006A6855">
      <w:pPr>
        <w:spacing w:after="0" w:line="276" w:lineRule="auto"/>
        <w:rPr>
          <w:rFonts w:ascii="Cambria" w:hAnsi="Cambria"/>
          <w:sz w:val="24"/>
          <w:szCs w:val="24"/>
        </w:rPr>
      </w:pPr>
    </w:p>
    <w:sectPr w:rsidR="00EC6187" w:rsidRPr="00276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81AA4"/>
    <w:multiLevelType w:val="hybridMultilevel"/>
    <w:tmpl w:val="7F148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4535CA"/>
    <w:multiLevelType w:val="hybridMultilevel"/>
    <w:tmpl w:val="AE6AC4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24561E6"/>
    <w:multiLevelType w:val="hybridMultilevel"/>
    <w:tmpl w:val="249A9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DFB5988"/>
    <w:multiLevelType w:val="hybridMultilevel"/>
    <w:tmpl w:val="DE68B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03"/>
    <w:rsid w:val="00017EAB"/>
    <w:rsid w:val="00241B2E"/>
    <w:rsid w:val="00253332"/>
    <w:rsid w:val="002762D3"/>
    <w:rsid w:val="0030454D"/>
    <w:rsid w:val="00372EA1"/>
    <w:rsid w:val="004B5978"/>
    <w:rsid w:val="006A6855"/>
    <w:rsid w:val="006C14E7"/>
    <w:rsid w:val="007D4824"/>
    <w:rsid w:val="008A7B03"/>
    <w:rsid w:val="00A408F1"/>
    <w:rsid w:val="00A5754F"/>
    <w:rsid w:val="00A9324C"/>
    <w:rsid w:val="00AF1A44"/>
    <w:rsid w:val="00BB59A8"/>
    <w:rsid w:val="00CC1374"/>
    <w:rsid w:val="00D45F75"/>
    <w:rsid w:val="00EC618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00F8E-267C-49BF-BE59-816842FF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MeHuL</dc:creator>
  <cp:keywords/>
  <dc:description/>
  <cp:lastModifiedBy>Dr. MeHuL</cp:lastModifiedBy>
  <cp:revision>8</cp:revision>
  <dcterms:created xsi:type="dcterms:W3CDTF">2015-04-26T13:32:00Z</dcterms:created>
  <dcterms:modified xsi:type="dcterms:W3CDTF">2015-04-30T16:59:00Z</dcterms:modified>
</cp:coreProperties>
</file>