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811" w:rsidRDefault="00FF3B4A">
      <w:pPr>
        <w:rPr>
          <w:rFonts w:ascii="Trebuchet MS" w:hAnsi="Trebuchet MS"/>
          <w:b/>
          <w:sz w:val="24"/>
          <w:szCs w:val="24"/>
        </w:rPr>
      </w:pPr>
      <w:r w:rsidRPr="00FF3B4A">
        <w:rPr>
          <w:rFonts w:ascii="Trebuchet MS" w:hAnsi="Trebuchet MS"/>
          <w:b/>
          <w:sz w:val="24"/>
          <w:szCs w:val="24"/>
        </w:rPr>
        <w:t>DISCUSS AND DESCRIBE SOME OF THE ADVANTAGES AND DISADVANTAGES OF HAVING A MENTAL HEALTH INSPECTORATE THAT HAS BEEN SET UP IN NATIONAL LEGISLATION COMPARED WITH AN INVESTIGATION INTO HUMAN RIGHTS ABUSES IN MENTAL HEALTH FACILITIES CONDUCTED BY AN INTERNATIONAL NGO SPECIALIZING IN MENTAL HEALTH AND HUMAN RIGHTS</w:t>
      </w:r>
    </w:p>
    <w:p w:rsidR="00FF3B4A" w:rsidRDefault="00FF3B4A">
      <w:pPr>
        <w:rPr>
          <w:rFonts w:ascii="Trebuchet MS" w:hAnsi="Trebuchet MS"/>
          <w:sz w:val="24"/>
          <w:szCs w:val="24"/>
        </w:rPr>
      </w:pPr>
    </w:p>
    <w:p w:rsidR="00FF3B4A" w:rsidRDefault="00FF3B4A">
      <w:pPr>
        <w:rPr>
          <w:rFonts w:ascii="Trebuchet MS" w:hAnsi="Trebuchet MS"/>
          <w:sz w:val="24"/>
          <w:szCs w:val="24"/>
        </w:rPr>
      </w:pPr>
      <w:r>
        <w:rPr>
          <w:rFonts w:ascii="Trebuchet MS" w:hAnsi="Trebuchet MS"/>
          <w:sz w:val="24"/>
          <w:szCs w:val="24"/>
        </w:rPr>
        <w:t xml:space="preserve">The investigative work of international NGOs has served an important purpose in recent decades in bringing to light human rights abuses in the field of mental health. This has especially been the case where States have not </w:t>
      </w:r>
      <w:r w:rsidR="001B3556">
        <w:rPr>
          <w:rFonts w:ascii="Trebuchet MS" w:hAnsi="Trebuchet MS"/>
          <w:sz w:val="24"/>
          <w:szCs w:val="24"/>
        </w:rPr>
        <w:t>had their own national in</w:t>
      </w:r>
      <w:r>
        <w:rPr>
          <w:rFonts w:ascii="Trebuchet MS" w:hAnsi="Trebuchet MS"/>
          <w:sz w:val="24"/>
          <w:szCs w:val="24"/>
        </w:rPr>
        <w:t>s</w:t>
      </w:r>
      <w:r w:rsidR="001B3556">
        <w:rPr>
          <w:rFonts w:ascii="Trebuchet MS" w:hAnsi="Trebuchet MS"/>
          <w:sz w:val="24"/>
          <w:szCs w:val="24"/>
        </w:rPr>
        <w:t>p</w:t>
      </w:r>
      <w:r>
        <w:rPr>
          <w:rFonts w:ascii="Trebuchet MS" w:hAnsi="Trebuchet MS"/>
          <w:sz w:val="24"/>
          <w:szCs w:val="24"/>
        </w:rPr>
        <w:t>ectorates</w:t>
      </w:r>
      <w:r w:rsidR="001B3556">
        <w:rPr>
          <w:rFonts w:ascii="Trebuchet MS" w:hAnsi="Trebuchet MS"/>
          <w:sz w:val="24"/>
          <w:szCs w:val="24"/>
        </w:rPr>
        <w:t>. Notable investigations have included those of Mental Disability Rights International in Latin America, Eastern Europe and the Middle East, and those of The Mental Disability Advocacy Centre in Eastern Europe.</w:t>
      </w:r>
    </w:p>
    <w:p w:rsidR="00233975" w:rsidRDefault="001B3556">
      <w:pPr>
        <w:rPr>
          <w:rFonts w:ascii="Trebuchet MS" w:hAnsi="Trebuchet MS"/>
          <w:sz w:val="24"/>
          <w:szCs w:val="24"/>
        </w:rPr>
      </w:pPr>
      <w:r>
        <w:rPr>
          <w:rFonts w:ascii="Trebuchet MS" w:hAnsi="Trebuchet MS"/>
          <w:sz w:val="24"/>
          <w:szCs w:val="24"/>
        </w:rPr>
        <w:t>The chief advantage</w:t>
      </w:r>
      <w:r w:rsidR="00233975">
        <w:rPr>
          <w:rFonts w:ascii="Trebuchet MS" w:hAnsi="Trebuchet MS"/>
          <w:sz w:val="24"/>
          <w:szCs w:val="24"/>
        </w:rPr>
        <w:t>s of NGO activity of this sort are</w:t>
      </w:r>
      <w:r>
        <w:rPr>
          <w:rFonts w:ascii="Trebuchet MS" w:hAnsi="Trebuchet MS"/>
          <w:sz w:val="24"/>
          <w:szCs w:val="24"/>
        </w:rPr>
        <w:t xml:space="preserve"> its </w:t>
      </w:r>
      <w:r w:rsidR="00233975">
        <w:rPr>
          <w:rFonts w:ascii="Trebuchet MS" w:hAnsi="Trebuchet MS"/>
          <w:sz w:val="24"/>
          <w:szCs w:val="24"/>
        </w:rPr>
        <w:t xml:space="preserve">focus on advocacy, its </w:t>
      </w:r>
      <w:r>
        <w:rPr>
          <w:rFonts w:ascii="Trebuchet MS" w:hAnsi="Trebuchet MS"/>
          <w:sz w:val="24"/>
          <w:szCs w:val="24"/>
        </w:rPr>
        <w:t>independence from government interference and its ability to range freely, and expertly, in its coverage of sensitive issues.</w:t>
      </w:r>
      <w:r w:rsidR="00233975">
        <w:rPr>
          <w:rFonts w:ascii="Trebuchet MS" w:hAnsi="Trebuchet MS"/>
          <w:sz w:val="24"/>
          <w:szCs w:val="24"/>
        </w:rPr>
        <w:t xml:space="preserve"> The ability to raise awareness, mobilize opinion and</w:t>
      </w:r>
      <w:r>
        <w:rPr>
          <w:rFonts w:ascii="Trebuchet MS" w:hAnsi="Trebuchet MS"/>
          <w:sz w:val="24"/>
          <w:szCs w:val="24"/>
        </w:rPr>
        <w:t xml:space="preserve"> </w:t>
      </w:r>
      <w:r w:rsidR="00233975">
        <w:rPr>
          <w:rFonts w:ascii="Trebuchet MS" w:hAnsi="Trebuchet MS"/>
          <w:sz w:val="24"/>
          <w:szCs w:val="24"/>
        </w:rPr>
        <w:t>creat</w:t>
      </w:r>
      <w:r w:rsidR="00C0007E">
        <w:rPr>
          <w:rFonts w:ascii="Trebuchet MS" w:hAnsi="Trebuchet MS"/>
          <w:sz w:val="24"/>
          <w:szCs w:val="24"/>
        </w:rPr>
        <w:t>e public pressure for change is a</w:t>
      </w:r>
      <w:r w:rsidR="00F90B54">
        <w:rPr>
          <w:rFonts w:ascii="Trebuchet MS" w:hAnsi="Trebuchet MS"/>
          <w:sz w:val="24"/>
          <w:szCs w:val="24"/>
        </w:rPr>
        <w:t>lso a</w:t>
      </w:r>
      <w:r w:rsidR="00C0007E">
        <w:rPr>
          <w:rFonts w:ascii="Trebuchet MS" w:hAnsi="Trebuchet MS"/>
          <w:sz w:val="24"/>
          <w:szCs w:val="24"/>
        </w:rPr>
        <w:t xml:space="preserve"> significant feature</w:t>
      </w:r>
      <w:r w:rsidR="00233975">
        <w:rPr>
          <w:rFonts w:ascii="Trebuchet MS" w:hAnsi="Trebuchet MS"/>
          <w:sz w:val="24"/>
          <w:szCs w:val="24"/>
        </w:rPr>
        <w:t>.</w:t>
      </w:r>
    </w:p>
    <w:p w:rsidR="001B3556" w:rsidRDefault="001B3556">
      <w:pPr>
        <w:rPr>
          <w:rFonts w:ascii="Trebuchet MS" w:hAnsi="Trebuchet MS"/>
          <w:sz w:val="24"/>
          <w:szCs w:val="24"/>
        </w:rPr>
      </w:pPr>
      <w:r>
        <w:rPr>
          <w:rFonts w:ascii="Trebuchet MS" w:hAnsi="Trebuchet MS"/>
          <w:sz w:val="24"/>
          <w:szCs w:val="24"/>
        </w:rPr>
        <w:t xml:space="preserve">On the other hand, such NGOs are likely to have limited budgets; they will rarely have the capacity to monitor an evolving situation or conduct repeat investigations; and they may find themselves hindered by obstructive governments, with relatively limited access to </w:t>
      </w:r>
      <w:r w:rsidR="00233975">
        <w:rPr>
          <w:rFonts w:ascii="Trebuchet MS" w:hAnsi="Trebuchet MS"/>
          <w:sz w:val="24"/>
          <w:szCs w:val="24"/>
        </w:rPr>
        <w:t xml:space="preserve">mental health facilities, </w:t>
      </w:r>
      <w:r>
        <w:rPr>
          <w:rFonts w:ascii="Trebuchet MS" w:hAnsi="Trebuchet MS"/>
          <w:sz w:val="24"/>
          <w:szCs w:val="24"/>
        </w:rPr>
        <w:t>documentary evidence and informed witnesses, including disabled people themselves.</w:t>
      </w:r>
      <w:r w:rsidR="006A4DF0">
        <w:rPr>
          <w:rFonts w:ascii="Trebuchet MS" w:hAnsi="Trebuchet MS"/>
          <w:sz w:val="24"/>
          <w:szCs w:val="24"/>
        </w:rPr>
        <w:t xml:space="preserve"> Their lack of ‘constitutional’ standing within the State concerned may mean they lack credibility and are denigrated as external trouble-makers,</w:t>
      </w:r>
      <w:r w:rsidR="00765541">
        <w:rPr>
          <w:rFonts w:ascii="Trebuchet MS" w:hAnsi="Trebuchet MS"/>
          <w:sz w:val="24"/>
          <w:szCs w:val="24"/>
        </w:rPr>
        <w:t xml:space="preserve"> portrayed as being</w:t>
      </w:r>
      <w:r w:rsidR="006A4DF0">
        <w:rPr>
          <w:rFonts w:ascii="Trebuchet MS" w:hAnsi="Trebuchet MS"/>
          <w:sz w:val="24"/>
          <w:szCs w:val="24"/>
        </w:rPr>
        <w:t xml:space="preserve"> sponsored by the international community with an overt and hostile political agenda.</w:t>
      </w:r>
    </w:p>
    <w:p w:rsidR="001B3556" w:rsidRDefault="001B3556">
      <w:pPr>
        <w:rPr>
          <w:rFonts w:ascii="Trebuchet MS" w:hAnsi="Trebuchet MS"/>
          <w:sz w:val="24"/>
          <w:szCs w:val="24"/>
        </w:rPr>
      </w:pPr>
      <w:r>
        <w:rPr>
          <w:rFonts w:ascii="Trebuchet MS" w:hAnsi="Trebuchet MS"/>
          <w:sz w:val="24"/>
          <w:szCs w:val="24"/>
        </w:rPr>
        <w:t xml:space="preserve">Notwithstanding such limitations, NGO investigation is frequently an important way of highlighting areas of concern and of bringing the international spotlight to bear on </w:t>
      </w:r>
      <w:r w:rsidR="00765541">
        <w:rPr>
          <w:rFonts w:ascii="Trebuchet MS" w:hAnsi="Trebuchet MS"/>
          <w:sz w:val="24"/>
          <w:szCs w:val="24"/>
        </w:rPr>
        <w:t>aspects of mental health provision</w:t>
      </w:r>
      <w:r>
        <w:rPr>
          <w:rFonts w:ascii="Trebuchet MS" w:hAnsi="Trebuchet MS"/>
          <w:sz w:val="24"/>
          <w:szCs w:val="24"/>
        </w:rPr>
        <w:t xml:space="preserve"> which might otherwise escape scrutiny. The application by NGOs of international human rights standards can frequently emerge as the first intrusion of widely shared human rights values and principles into the closed world of relatively authoritarian societies or of those societies that are in the early stages of economic and political development.</w:t>
      </w:r>
    </w:p>
    <w:p w:rsidR="00A44840" w:rsidRDefault="00A44840">
      <w:pPr>
        <w:rPr>
          <w:rFonts w:ascii="Trebuchet MS" w:hAnsi="Trebuchet MS"/>
          <w:sz w:val="24"/>
          <w:szCs w:val="24"/>
        </w:rPr>
      </w:pPr>
      <w:r>
        <w:rPr>
          <w:rFonts w:ascii="Trebuchet MS" w:hAnsi="Trebuchet MS"/>
          <w:sz w:val="24"/>
          <w:szCs w:val="24"/>
        </w:rPr>
        <w:t>Such activity is, however, generally very much second-best to the monitoring ac</w:t>
      </w:r>
      <w:r w:rsidR="00765541">
        <w:rPr>
          <w:rFonts w:ascii="Trebuchet MS" w:hAnsi="Trebuchet MS"/>
          <w:sz w:val="24"/>
          <w:szCs w:val="24"/>
        </w:rPr>
        <w:t xml:space="preserve">tivity of properly and lawfully </w:t>
      </w:r>
      <w:r>
        <w:rPr>
          <w:rFonts w:ascii="Trebuchet MS" w:hAnsi="Trebuchet MS"/>
          <w:sz w:val="24"/>
          <w:szCs w:val="24"/>
        </w:rPr>
        <w:t>constituted national inspectorate</w:t>
      </w:r>
      <w:r w:rsidR="00765541">
        <w:rPr>
          <w:rFonts w:ascii="Trebuchet MS" w:hAnsi="Trebuchet MS"/>
          <w:sz w:val="24"/>
          <w:szCs w:val="24"/>
        </w:rPr>
        <w:t>s</w:t>
      </w:r>
      <w:r>
        <w:rPr>
          <w:rFonts w:ascii="Trebuchet MS" w:hAnsi="Trebuchet MS"/>
          <w:sz w:val="24"/>
          <w:szCs w:val="24"/>
        </w:rPr>
        <w:t xml:space="preserve"> with specialist and local expertise in mental health and human rights. Such inspectorates will in most cases have the advantage of credibility afforded by their constitution; they will have the financial and other resources that normally accompany a national organisation; and they will have the ability to provide continuity of scrutiny, </w:t>
      </w:r>
      <w:r>
        <w:rPr>
          <w:rFonts w:ascii="Trebuchet MS" w:hAnsi="Trebuchet MS"/>
          <w:sz w:val="24"/>
          <w:szCs w:val="24"/>
        </w:rPr>
        <w:lastRenderedPageBreak/>
        <w:t>returning to check on progress and establishing a watching brief where concerns are not entirely</w:t>
      </w:r>
      <w:r w:rsidR="00765541">
        <w:rPr>
          <w:rFonts w:ascii="Trebuchet MS" w:hAnsi="Trebuchet MS"/>
          <w:sz w:val="24"/>
          <w:szCs w:val="24"/>
        </w:rPr>
        <w:t xml:space="preserve"> eradicated on first inspection.</w:t>
      </w:r>
    </w:p>
    <w:p w:rsidR="00233975" w:rsidRDefault="00233975">
      <w:pPr>
        <w:rPr>
          <w:rFonts w:ascii="Trebuchet MS" w:hAnsi="Trebuchet MS"/>
          <w:sz w:val="24"/>
          <w:szCs w:val="24"/>
        </w:rPr>
      </w:pPr>
      <w:r>
        <w:rPr>
          <w:rFonts w:ascii="Trebuchet MS" w:hAnsi="Trebuchet MS"/>
          <w:sz w:val="24"/>
          <w:szCs w:val="24"/>
        </w:rPr>
        <w:t>National monitoring mechanisms also have the ability to take legal action in the national context, invoking domestic criminal, anti-discrimination and other law as a supplement to international human rights law. In many cases, they will have the ability to report to the national legislative body and to publicise their findings using familiar and trusted local media outlets.</w:t>
      </w:r>
    </w:p>
    <w:p w:rsidR="005E03F2" w:rsidRDefault="00765541">
      <w:pPr>
        <w:rPr>
          <w:rFonts w:ascii="Trebuchet MS" w:hAnsi="Trebuchet MS"/>
          <w:sz w:val="24"/>
          <w:szCs w:val="24"/>
        </w:rPr>
      </w:pPr>
      <w:r>
        <w:rPr>
          <w:rFonts w:ascii="Trebuchet MS" w:hAnsi="Trebuchet MS"/>
          <w:sz w:val="24"/>
          <w:szCs w:val="24"/>
        </w:rPr>
        <w:t>The triggers for active intervention by a national monitoring mechanism should include individual complaint from service users, their families or representatives. There should also be the ab</w:t>
      </w:r>
      <w:r w:rsidR="007B2F33">
        <w:rPr>
          <w:rFonts w:ascii="Trebuchet MS" w:hAnsi="Trebuchet MS"/>
          <w:sz w:val="24"/>
          <w:szCs w:val="24"/>
        </w:rPr>
        <w:t>ility to conduct inspections at</w:t>
      </w:r>
      <w:r>
        <w:rPr>
          <w:rFonts w:ascii="Trebuchet MS" w:hAnsi="Trebuchet MS"/>
          <w:sz w:val="24"/>
          <w:szCs w:val="24"/>
        </w:rPr>
        <w:t xml:space="preserve"> very short notice or entirely unannounced.</w:t>
      </w:r>
    </w:p>
    <w:p w:rsidR="00765541" w:rsidRDefault="00765541">
      <w:pPr>
        <w:rPr>
          <w:rFonts w:ascii="Trebuchet MS" w:hAnsi="Trebuchet MS"/>
          <w:sz w:val="24"/>
          <w:szCs w:val="24"/>
        </w:rPr>
      </w:pPr>
      <w:r>
        <w:rPr>
          <w:rFonts w:ascii="Trebuchet MS" w:hAnsi="Trebuchet MS"/>
          <w:sz w:val="24"/>
          <w:szCs w:val="24"/>
        </w:rPr>
        <w:t xml:space="preserve">This combination of reactive and own-initiative investigation provides a powerful resource for obtaining reliable intelligence about what is really happening on the ground and for avoiding the sort of obfuscation and preparation that might accompany an investigation heralded well in advance by an international visit. </w:t>
      </w:r>
    </w:p>
    <w:p w:rsidR="005E03F2" w:rsidRDefault="00765541">
      <w:pPr>
        <w:rPr>
          <w:rFonts w:ascii="Trebuchet MS" w:hAnsi="Trebuchet MS"/>
          <w:sz w:val="24"/>
          <w:szCs w:val="24"/>
        </w:rPr>
      </w:pPr>
      <w:r>
        <w:rPr>
          <w:rFonts w:ascii="Trebuchet MS" w:hAnsi="Trebuchet MS"/>
          <w:sz w:val="24"/>
          <w:szCs w:val="24"/>
        </w:rPr>
        <w:t>Much will depend on the quality of the legislation establishing the monitoring mechanism, especially in the four key areas of independence, coverage, composition and human rights expertise. At their best, such institutions will be truly independent of the Executive, in accordance with the Paris Principles, and have a wide remit to protect and promote the human rights of those with mental disabilities, including both civil and political rights as well as positive social rights entitlements, such as the right to the highest attainable standard of health and social care, and housing.</w:t>
      </w:r>
      <w:r w:rsidR="00034B4A">
        <w:rPr>
          <w:rFonts w:ascii="Trebuchet MS" w:hAnsi="Trebuchet MS"/>
          <w:sz w:val="24"/>
          <w:szCs w:val="24"/>
        </w:rPr>
        <w:t xml:space="preserve"> </w:t>
      </w:r>
    </w:p>
    <w:p w:rsidR="005E03F2" w:rsidRDefault="00034B4A">
      <w:pPr>
        <w:rPr>
          <w:rFonts w:ascii="Trebuchet MS" w:hAnsi="Trebuchet MS"/>
          <w:sz w:val="24"/>
          <w:szCs w:val="24"/>
        </w:rPr>
      </w:pPr>
      <w:r>
        <w:rPr>
          <w:rFonts w:ascii="Trebuchet MS" w:hAnsi="Trebuchet MS"/>
          <w:sz w:val="24"/>
          <w:szCs w:val="24"/>
        </w:rPr>
        <w:t>Their coverage will extend to all mental health services, not just in-patient facilities, and be unrestricted, with unhindered access to written and oral evidence on a confidential basis, wherever appropriate.</w:t>
      </w:r>
      <w:r w:rsidR="005E03F2">
        <w:rPr>
          <w:rFonts w:ascii="Trebuchet MS" w:hAnsi="Trebuchet MS"/>
          <w:sz w:val="24"/>
          <w:szCs w:val="24"/>
        </w:rPr>
        <w:t xml:space="preserve"> They will have the ability to review mental health and other related legislation and recommend reform wherever there is demonstrable need in order to comply with international standards and best practice.</w:t>
      </w:r>
      <w:r w:rsidR="00765541">
        <w:rPr>
          <w:rFonts w:ascii="Trebuchet MS" w:hAnsi="Trebuchet MS"/>
          <w:sz w:val="24"/>
          <w:szCs w:val="24"/>
        </w:rPr>
        <w:t xml:space="preserve"> </w:t>
      </w:r>
    </w:p>
    <w:p w:rsidR="005E03F2" w:rsidRDefault="00765541">
      <w:pPr>
        <w:rPr>
          <w:rFonts w:ascii="Trebuchet MS" w:hAnsi="Trebuchet MS"/>
          <w:sz w:val="24"/>
          <w:szCs w:val="24"/>
        </w:rPr>
      </w:pPr>
      <w:r>
        <w:rPr>
          <w:rFonts w:ascii="Trebuchet MS" w:hAnsi="Trebuchet MS"/>
          <w:sz w:val="24"/>
          <w:szCs w:val="24"/>
        </w:rPr>
        <w:t>The legal framework should create obligations on the part of the State to respond positively to any findings or recommendations made.</w:t>
      </w:r>
      <w:r w:rsidR="00034B4A">
        <w:rPr>
          <w:rFonts w:ascii="Trebuchet MS" w:hAnsi="Trebuchet MS"/>
          <w:sz w:val="24"/>
          <w:szCs w:val="24"/>
        </w:rPr>
        <w:t xml:space="preserve"> </w:t>
      </w:r>
    </w:p>
    <w:p w:rsidR="00765541" w:rsidRDefault="00034B4A">
      <w:pPr>
        <w:rPr>
          <w:rFonts w:ascii="Trebuchet MS" w:hAnsi="Trebuchet MS"/>
          <w:sz w:val="24"/>
          <w:szCs w:val="24"/>
        </w:rPr>
      </w:pPr>
      <w:r>
        <w:rPr>
          <w:rFonts w:ascii="Trebuchet MS" w:hAnsi="Trebuchet MS"/>
          <w:sz w:val="24"/>
          <w:szCs w:val="24"/>
        </w:rPr>
        <w:t>The monitoring bodies themselves should be able to reflect the society they serve and include users of services as well as recognised experts in the field. Their demonstrable credibility should be enhanced by their being the beneficiaries of cutting-edge training and education in human rights, so that they can bring to bear undisputed expertise on the issues they encounter.</w:t>
      </w:r>
    </w:p>
    <w:p w:rsidR="00034B4A" w:rsidRDefault="00034B4A">
      <w:pPr>
        <w:rPr>
          <w:rFonts w:ascii="Trebuchet MS" w:hAnsi="Trebuchet MS"/>
          <w:sz w:val="24"/>
          <w:szCs w:val="24"/>
        </w:rPr>
      </w:pPr>
      <w:r>
        <w:rPr>
          <w:rFonts w:ascii="Trebuchet MS" w:hAnsi="Trebuchet MS"/>
          <w:sz w:val="24"/>
          <w:szCs w:val="24"/>
        </w:rPr>
        <w:t xml:space="preserve">The potential disadvantages of such national inspectorates derive primarily from their possible failure to enjoy the highest quality of legal framework and </w:t>
      </w:r>
      <w:r>
        <w:rPr>
          <w:rFonts w:ascii="Trebuchet MS" w:hAnsi="Trebuchet MS"/>
          <w:sz w:val="24"/>
          <w:szCs w:val="24"/>
        </w:rPr>
        <w:lastRenderedPageBreak/>
        <w:t>legislative foundation. For example, if lacking in true independence, they may find themselves starved of resources by a defensive Executive or prevented from achieving widespread impact by reporting structures that effectively stifle the dissemination and implementation of their findings.</w:t>
      </w:r>
    </w:p>
    <w:p w:rsidR="00596C1C" w:rsidRDefault="00596C1C">
      <w:pPr>
        <w:rPr>
          <w:rFonts w:ascii="Trebuchet MS" w:hAnsi="Trebuchet MS"/>
          <w:sz w:val="24"/>
          <w:szCs w:val="24"/>
        </w:rPr>
      </w:pPr>
      <w:r>
        <w:rPr>
          <w:rFonts w:ascii="Trebuchet MS" w:hAnsi="Trebuchet MS"/>
          <w:sz w:val="24"/>
          <w:szCs w:val="24"/>
        </w:rPr>
        <w:t xml:space="preserve">The performance of such inspectorates in, for example, </w:t>
      </w:r>
      <w:proofErr w:type="spellStart"/>
      <w:r>
        <w:rPr>
          <w:rFonts w:ascii="Trebuchet MS" w:hAnsi="Trebuchet MS"/>
          <w:sz w:val="24"/>
          <w:szCs w:val="24"/>
        </w:rPr>
        <w:t>Southwestern</w:t>
      </w:r>
      <w:proofErr w:type="spellEnd"/>
      <w:r>
        <w:rPr>
          <w:rFonts w:ascii="Trebuchet MS" w:hAnsi="Trebuchet MS"/>
          <w:sz w:val="24"/>
          <w:szCs w:val="24"/>
        </w:rPr>
        <w:t xml:space="preserve"> Virginia, USA, Lithuania, New York, USA and </w:t>
      </w:r>
      <w:r w:rsidR="00671930">
        <w:rPr>
          <w:rFonts w:ascii="Trebuchet MS" w:hAnsi="Trebuchet MS"/>
          <w:sz w:val="24"/>
          <w:szCs w:val="24"/>
        </w:rPr>
        <w:t>England (where the work of the Mental Health Act C</w:t>
      </w:r>
      <w:r>
        <w:rPr>
          <w:rFonts w:ascii="Trebuchet MS" w:hAnsi="Trebuchet MS"/>
          <w:sz w:val="24"/>
          <w:szCs w:val="24"/>
        </w:rPr>
        <w:t>ommission has now been absorbed by the Care Quality Commission) is generally encouraging of the view that such institutions can exert real influence and through a rotating sequence of inspections create sustainable change over a period of several years.</w:t>
      </w:r>
    </w:p>
    <w:p w:rsidR="00596C1C" w:rsidRDefault="00173424">
      <w:pPr>
        <w:rPr>
          <w:rFonts w:ascii="Trebuchet MS" w:hAnsi="Trebuchet MS"/>
          <w:sz w:val="24"/>
          <w:szCs w:val="24"/>
        </w:rPr>
      </w:pPr>
      <w:r>
        <w:rPr>
          <w:rFonts w:ascii="Trebuchet MS" w:hAnsi="Trebuchet MS"/>
          <w:sz w:val="24"/>
          <w:szCs w:val="24"/>
        </w:rPr>
        <w:t>On balance, and notwithstanding the discrete impact of international NGO investigation, especially in extreme circumstances, the existence of a properly constituted national mental health inspectorate is likely to be a more effective guarantor of progressive and sustainable human rights compliance than ad hoc intervention by external agency, however expert and respectable.</w:t>
      </w:r>
      <w:r w:rsidR="009D32AB">
        <w:rPr>
          <w:rFonts w:ascii="Trebuchet MS" w:hAnsi="Trebuchet MS"/>
          <w:sz w:val="24"/>
          <w:szCs w:val="24"/>
        </w:rPr>
        <w:t xml:space="preserve"> If prospective prevention, rather than remedial analysis of known abuse, is the ambition, it seems inevitable that a standing remit, locally established and properly resourced, is a preferable source of long-term strategic improvement.</w:t>
      </w:r>
    </w:p>
    <w:p w:rsidR="0083113B" w:rsidRDefault="0083113B">
      <w:pPr>
        <w:rPr>
          <w:rFonts w:ascii="Trebuchet MS" w:hAnsi="Trebuchet MS"/>
          <w:sz w:val="24"/>
          <w:szCs w:val="24"/>
        </w:rPr>
      </w:pPr>
    </w:p>
    <w:p w:rsidR="0083113B" w:rsidRPr="0083113B" w:rsidRDefault="0083113B">
      <w:pPr>
        <w:rPr>
          <w:rFonts w:ascii="Trebuchet MS" w:hAnsi="Trebuchet MS"/>
          <w:b/>
          <w:sz w:val="24"/>
          <w:szCs w:val="24"/>
        </w:rPr>
      </w:pPr>
      <w:r w:rsidRPr="0083113B">
        <w:rPr>
          <w:rFonts w:ascii="Trebuchet MS" w:hAnsi="Trebuchet MS"/>
          <w:b/>
          <w:sz w:val="24"/>
          <w:szCs w:val="24"/>
        </w:rPr>
        <w:t>NICK O’BRIEN</w:t>
      </w:r>
    </w:p>
    <w:p w:rsidR="0083113B" w:rsidRPr="0083113B" w:rsidRDefault="0083113B">
      <w:pPr>
        <w:rPr>
          <w:rFonts w:ascii="Trebuchet MS" w:hAnsi="Trebuchet MS"/>
          <w:b/>
          <w:sz w:val="24"/>
          <w:szCs w:val="24"/>
        </w:rPr>
      </w:pPr>
      <w:r w:rsidRPr="0083113B">
        <w:rPr>
          <w:rFonts w:ascii="Trebuchet MS" w:hAnsi="Trebuchet MS"/>
          <w:b/>
          <w:sz w:val="24"/>
          <w:szCs w:val="24"/>
        </w:rPr>
        <w:t>23 APRIL 2015</w:t>
      </w:r>
      <w:bookmarkStart w:id="0" w:name="_GoBack"/>
      <w:bookmarkEnd w:id="0"/>
    </w:p>
    <w:sectPr w:rsidR="0083113B" w:rsidRPr="008311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21"/>
    <w:rsid w:val="00034B4A"/>
    <w:rsid w:val="00173424"/>
    <w:rsid w:val="001B3556"/>
    <w:rsid w:val="00233975"/>
    <w:rsid w:val="00492493"/>
    <w:rsid w:val="00596C1C"/>
    <w:rsid w:val="005E03F2"/>
    <w:rsid w:val="00671930"/>
    <w:rsid w:val="006A4DF0"/>
    <w:rsid w:val="0076082A"/>
    <w:rsid w:val="00765541"/>
    <w:rsid w:val="007B2F33"/>
    <w:rsid w:val="0083113B"/>
    <w:rsid w:val="00920D21"/>
    <w:rsid w:val="009D32AB"/>
    <w:rsid w:val="00A44840"/>
    <w:rsid w:val="00C0007E"/>
    <w:rsid w:val="00F90B54"/>
    <w:rsid w:val="00FD3811"/>
    <w:rsid w:val="00FF3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O'Brien</dc:creator>
  <cp:keywords/>
  <dc:description/>
  <cp:lastModifiedBy>Nick O'Brien</cp:lastModifiedBy>
  <cp:revision>16</cp:revision>
  <dcterms:created xsi:type="dcterms:W3CDTF">2015-04-22T10:24:00Z</dcterms:created>
  <dcterms:modified xsi:type="dcterms:W3CDTF">2015-04-23T15:54:00Z</dcterms:modified>
</cp:coreProperties>
</file>