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2CC" w:rsidRDefault="00B802CC" w:rsidP="00B802CC">
      <w:pPr>
        <w:jc w:val="center"/>
        <w:rPr>
          <w:b/>
          <w:sz w:val="24"/>
        </w:rPr>
      </w:pPr>
      <w:r>
        <w:rPr>
          <w:b/>
          <w:sz w:val="24"/>
        </w:rPr>
        <w:t>Assignment on Module 6</w:t>
      </w:r>
    </w:p>
    <w:p w:rsidR="00B802CC" w:rsidRDefault="004D4E73" w:rsidP="00B802CC">
      <w:pPr>
        <w:jc w:val="center"/>
        <w:rPr>
          <w:b/>
          <w:sz w:val="24"/>
        </w:rPr>
      </w:pPr>
      <w:r>
        <w:rPr>
          <w:b/>
          <w:sz w:val="24"/>
        </w:rPr>
        <w:t>Capacity, competence &amp; Supported Decision-Making and Guardianship &amp; Admission, Treatment and Discharge</w:t>
      </w:r>
    </w:p>
    <w:p w:rsidR="004D4E73" w:rsidRDefault="004D4E73" w:rsidP="00C376B1">
      <w:pPr>
        <w:rPr>
          <w:sz w:val="24"/>
        </w:rPr>
      </w:pPr>
    </w:p>
    <w:p w:rsidR="005F1E6F" w:rsidRDefault="00EA2FC4" w:rsidP="00C376B1">
      <w:pPr>
        <w:rPr>
          <w:sz w:val="24"/>
        </w:rPr>
      </w:pPr>
      <w:r>
        <w:rPr>
          <w:sz w:val="24"/>
        </w:rPr>
        <w:t xml:space="preserve">Persons with mental illness are often looked at as recipients of charity, welfare and medical treatment rather than as holder of rights. </w:t>
      </w:r>
      <w:r w:rsidR="00262861">
        <w:rPr>
          <w:sz w:val="24"/>
        </w:rPr>
        <w:t xml:space="preserve">They are not only labelled with several names, but also these labels represent characteristics attributed to them. For example – persons with mental illness are seen as being “dangerous”, “unpredictable”, “incapable” of taking care of themselves etc. </w:t>
      </w:r>
      <w:r>
        <w:rPr>
          <w:sz w:val="24"/>
        </w:rPr>
        <w:t xml:space="preserve">Emphasis has been on the protection of the rest of the society from persons with mental illness, rather than on protecting their rights. </w:t>
      </w:r>
    </w:p>
    <w:p w:rsidR="005F1E6F" w:rsidRDefault="005F1E6F" w:rsidP="00C376B1">
      <w:pPr>
        <w:rPr>
          <w:sz w:val="24"/>
        </w:rPr>
      </w:pPr>
      <w:r>
        <w:rPr>
          <w:sz w:val="24"/>
        </w:rPr>
        <w:t xml:space="preserve">From a sociological viewpoint, laws often reflect the prevalent attitudes, beliefs and values in a particular context. Social values and perceptions, and laws have a bi-directional effect on each other. The effect of having dominant social values which view persons with mental illness as passive recipients of charity, welfare and medical treatment, is having laws that rob these individuals of their rights to make basic decisions affecting their lives. Hence, having a mental disability is often equated with absence of legal capacity. </w:t>
      </w:r>
    </w:p>
    <w:p w:rsidR="005F1E6F" w:rsidRDefault="005F1E6F" w:rsidP="00C376B1">
      <w:pPr>
        <w:rPr>
          <w:sz w:val="24"/>
        </w:rPr>
      </w:pPr>
      <w:r>
        <w:rPr>
          <w:sz w:val="24"/>
        </w:rPr>
        <w:t>The UN rights standards, especially the CRPD, aim to bring about an attitudinal shift in the way the dominant culture thinks of and looks at persons with disabilities. It has been argued that persons with disabilities not only have rights but also have the capacity to decide f</w:t>
      </w:r>
      <w:r w:rsidR="00BC4359">
        <w:rPr>
          <w:sz w:val="24"/>
        </w:rPr>
        <w:t xml:space="preserve">or themselves. What is needed may be needed is additional support to help them exercise their rights to the fullest extent possible. </w:t>
      </w:r>
    </w:p>
    <w:p w:rsidR="00262861" w:rsidRDefault="00262861" w:rsidP="00C376B1">
      <w:pPr>
        <w:rPr>
          <w:b/>
          <w:sz w:val="24"/>
        </w:rPr>
      </w:pPr>
      <w:r>
        <w:rPr>
          <w:b/>
          <w:sz w:val="24"/>
        </w:rPr>
        <w:t>The case in point</w:t>
      </w:r>
    </w:p>
    <w:p w:rsidR="00B50769" w:rsidRDefault="00B50769" w:rsidP="00B50769">
      <w:pPr>
        <w:rPr>
          <w:sz w:val="24"/>
        </w:rPr>
      </w:pPr>
      <w:r>
        <w:rPr>
          <w:sz w:val="24"/>
        </w:rPr>
        <w:t>Mrs. A’s history is reflective of the issue of legal capacity. Simply put, it is about having the choice and being allowed to make choices and decisions of one’s own. However, Mrs. A’s story is an example of how this choice is taken away from her simply because she suffers from a mental illness. Absence of choice is reflected in several ways, in her story:</w:t>
      </w:r>
    </w:p>
    <w:p w:rsidR="00B50769" w:rsidRDefault="00B50769" w:rsidP="00B50769">
      <w:pPr>
        <w:pStyle w:val="ListParagraph"/>
        <w:numPr>
          <w:ilvl w:val="0"/>
          <w:numId w:val="3"/>
        </w:numPr>
        <w:rPr>
          <w:sz w:val="24"/>
        </w:rPr>
      </w:pPr>
      <w:r>
        <w:rPr>
          <w:b/>
          <w:sz w:val="24"/>
        </w:rPr>
        <w:t>Repeated examination and administration of medication: “</w:t>
      </w:r>
      <w:r>
        <w:rPr>
          <w:sz w:val="24"/>
        </w:rPr>
        <w:t xml:space="preserve">A” does not have prior information about the process of assessment she is going to undergo. She also does not have a say in the nature of </w:t>
      </w:r>
      <w:r w:rsidR="00370338">
        <w:rPr>
          <w:sz w:val="24"/>
        </w:rPr>
        <w:t>treatment offered to her. The medication has a poor outcome because she is non –</w:t>
      </w:r>
      <w:r w:rsidR="00B71E90">
        <w:rPr>
          <w:sz w:val="24"/>
        </w:rPr>
        <w:t xml:space="preserve"> compliant and does not wish to take the treatment. However, the treatment is offered to her, irrespective of her choice. </w:t>
      </w:r>
    </w:p>
    <w:p w:rsidR="00B71E90" w:rsidRDefault="00B71E90" w:rsidP="00B50769">
      <w:pPr>
        <w:pStyle w:val="ListParagraph"/>
        <w:numPr>
          <w:ilvl w:val="0"/>
          <w:numId w:val="3"/>
        </w:numPr>
        <w:rPr>
          <w:sz w:val="24"/>
        </w:rPr>
      </w:pPr>
      <w:r>
        <w:rPr>
          <w:b/>
          <w:sz w:val="24"/>
        </w:rPr>
        <w:t xml:space="preserve">Involuntary admission: </w:t>
      </w:r>
      <w:r>
        <w:rPr>
          <w:sz w:val="24"/>
        </w:rPr>
        <w:t xml:space="preserve">With the worsening of her condition, she is involuntarily admitted into the hospital, against her wishes. Here the principles of beneficence and freedom of choice come into conflict. </w:t>
      </w:r>
      <w:r w:rsidR="0096224C">
        <w:rPr>
          <w:sz w:val="24"/>
        </w:rPr>
        <w:t xml:space="preserve">Secondly, the involuntary admission take away her right to choose where she wants to be treated and also to choose where to live. </w:t>
      </w:r>
    </w:p>
    <w:p w:rsidR="00B71E90" w:rsidRDefault="00B71E90" w:rsidP="00B50769">
      <w:pPr>
        <w:pStyle w:val="ListParagraph"/>
        <w:numPr>
          <w:ilvl w:val="0"/>
          <w:numId w:val="3"/>
        </w:numPr>
        <w:rPr>
          <w:sz w:val="24"/>
        </w:rPr>
      </w:pPr>
      <w:r>
        <w:rPr>
          <w:b/>
          <w:sz w:val="24"/>
        </w:rPr>
        <w:t>Involuntary treatment and restraint:</w:t>
      </w:r>
      <w:r>
        <w:rPr>
          <w:sz w:val="24"/>
        </w:rPr>
        <w:t xml:space="preserve"> </w:t>
      </w:r>
      <w:r w:rsidR="0010677A">
        <w:rPr>
          <w:sz w:val="24"/>
        </w:rPr>
        <w:t xml:space="preserve">Involuntary admission </w:t>
      </w:r>
      <w:r w:rsidR="0096224C">
        <w:rPr>
          <w:sz w:val="24"/>
        </w:rPr>
        <w:t>does not necessarily allow for involuntary treatment and restraint. Despite the high dosage of medication, Mrs. A remains angry and there is no improvement in her condition. This further exaggerates into the authorities wishing to “protect her” by restraini</w:t>
      </w:r>
      <w:r w:rsidR="000C7B06">
        <w:rPr>
          <w:sz w:val="24"/>
        </w:rPr>
        <w:t xml:space="preserve">ng her. </w:t>
      </w:r>
      <w:r w:rsidR="000C7B06">
        <w:rPr>
          <w:sz w:val="24"/>
        </w:rPr>
        <w:lastRenderedPageBreak/>
        <w:t xml:space="preserve">Restraining her for long periods of time, without proper assessment and little or no monitoring amounts to torture or ill treatment in violation of the UN convention on Torture and of Article 15 in the CRPD. This ultimately lead to her death. </w:t>
      </w:r>
    </w:p>
    <w:p w:rsidR="000C7B06" w:rsidRDefault="000C7B06" w:rsidP="000C7B06">
      <w:pPr>
        <w:rPr>
          <w:sz w:val="24"/>
        </w:rPr>
      </w:pPr>
      <w:r>
        <w:rPr>
          <w:sz w:val="24"/>
        </w:rPr>
        <w:t xml:space="preserve">Mrs. A’s story is illustrative of how the rights of individuals with disabilities are often compromised either on the grounds of providing them medical treatment for their beneficence, protecting them, protecting others, or making decisions on their behalf as their well – wishers. </w:t>
      </w:r>
    </w:p>
    <w:p w:rsidR="000C7B06" w:rsidRDefault="000C7B06" w:rsidP="000C7B06">
      <w:pPr>
        <w:rPr>
          <w:sz w:val="24"/>
        </w:rPr>
      </w:pPr>
      <w:r>
        <w:rPr>
          <w:sz w:val="24"/>
        </w:rPr>
        <w:t xml:space="preserve">However, these are the very notions challenged by the UN standards on human rights. Rights are guaranteed to all human beings, simply as a virtue of being human. This does not exclude those with disabilities. According to the CRPD, disability can form the basis of deprivation of liberty. Hence, through 4 key articles – 3, 14, 19 and 25; it emphasises the capacity of those with mental disabilities to make decisions and choices of their own. These principles not only declare and provide these rights to persons with mental disabilities, but also promote and protect these rights through the provision of safeguards. </w:t>
      </w:r>
    </w:p>
    <w:tbl>
      <w:tblPr>
        <w:tblStyle w:val="TableGrid"/>
        <w:tblW w:w="0" w:type="auto"/>
        <w:tblLook w:val="04A0" w:firstRow="1" w:lastRow="0" w:firstColumn="1" w:lastColumn="0" w:noHBand="0" w:noVBand="1"/>
      </w:tblPr>
      <w:tblGrid>
        <w:gridCol w:w="4508"/>
        <w:gridCol w:w="4508"/>
      </w:tblGrid>
      <w:tr w:rsidR="00F73446" w:rsidTr="00F73446">
        <w:tc>
          <w:tcPr>
            <w:tcW w:w="4508" w:type="dxa"/>
            <w:tcBorders>
              <w:top w:val="double" w:sz="4" w:space="0" w:color="auto"/>
              <w:right w:val="double" w:sz="4" w:space="0" w:color="auto"/>
            </w:tcBorders>
          </w:tcPr>
          <w:p w:rsidR="00F73446" w:rsidRDefault="00F73446" w:rsidP="000C7B06">
            <w:pPr>
              <w:rPr>
                <w:sz w:val="24"/>
              </w:rPr>
            </w:pPr>
          </w:p>
          <w:p w:rsidR="00F73446" w:rsidRPr="00F73446" w:rsidRDefault="00F73446" w:rsidP="000C7B06">
            <w:pPr>
              <w:rPr>
                <w:sz w:val="24"/>
              </w:rPr>
            </w:pPr>
            <w:r>
              <w:rPr>
                <w:b/>
                <w:sz w:val="24"/>
              </w:rPr>
              <w:t xml:space="preserve">Article 3: </w:t>
            </w:r>
            <w:r>
              <w:rPr>
                <w:sz w:val="24"/>
              </w:rPr>
              <w:t xml:space="preserve">Emphasises the respect  for inherent dignity, autonomy and freedom to make one’s choices. It also acknowledges the concept of “evolving capacities” of children with disabilities. </w:t>
            </w:r>
          </w:p>
          <w:p w:rsidR="00F73446" w:rsidRDefault="00F73446" w:rsidP="000C7B06">
            <w:pPr>
              <w:rPr>
                <w:sz w:val="24"/>
              </w:rPr>
            </w:pPr>
          </w:p>
        </w:tc>
        <w:tc>
          <w:tcPr>
            <w:tcW w:w="4508" w:type="dxa"/>
            <w:tcBorders>
              <w:top w:val="double" w:sz="4" w:space="0" w:color="auto"/>
              <w:left w:val="double" w:sz="4" w:space="0" w:color="auto"/>
            </w:tcBorders>
          </w:tcPr>
          <w:p w:rsidR="00F73446" w:rsidRDefault="00F73446" w:rsidP="000C7B06">
            <w:pPr>
              <w:rPr>
                <w:sz w:val="24"/>
              </w:rPr>
            </w:pPr>
          </w:p>
          <w:p w:rsidR="00F73446" w:rsidRDefault="00F73446" w:rsidP="000C7B06">
            <w:pPr>
              <w:rPr>
                <w:sz w:val="24"/>
              </w:rPr>
            </w:pPr>
            <w:r>
              <w:rPr>
                <w:b/>
                <w:sz w:val="24"/>
              </w:rPr>
              <w:t xml:space="preserve">Article 12: </w:t>
            </w:r>
            <w:r>
              <w:rPr>
                <w:sz w:val="24"/>
              </w:rPr>
              <w:t xml:space="preserve">This is one of the most important article which stresses the paradigm shift towards recognising legal capacity of those with mental disabilities. It not only mentions that those with a mental illness </w:t>
            </w:r>
            <w:r>
              <w:rPr>
                <w:b/>
                <w:sz w:val="24"/>
              </w:rPr>
              <w:t xml:space="preserve">have </w:t>
            </w:r>
            <w:r>
              <w:rPr>
                <w:sz w:val="24"/>
              </w:rPr>
              <w:t>equal recognition before the law and legal capacity; but also provides for safeguards to ensure that they exercise their legal capacity to the fullest extent possible. Simply put:</w:t>
            </w:r>
          </w:p>
          <w:p w:rsidR="00F73446" w:rsidRPr="00F73446" w:rsidRDefault="00F73446" w:rsidP="00F73446">
            <w:pPr>
              <w:jc w:val="center"/>
              <w:rPr>
                <w:b/>
                <w:sz w:val="24"/>
              </w:rPr>
            </w:pPr>
            <w:r w:rsidRPr="00F73446">
              <w:rPr>
                <w:b/>
                <w:sz w:val="24"/>
              </w:rPr>
              <w:t>Mental disability ≠ Absence of legal capacity.</w:t>
            </w:r>
          </w:p>
          <w:p w:rsidR="00F73446" w:rsidRPr="00F73446" w:rsidRDefault="00F73446" w:rsidP="000C7B06">
            <w:pPr>
              <w:rPr>
                <w:sz w:val="24"/>
              </w:rPr>
            </w:pPr>
          </w:p>
        </w:tc>
      </w:tr>
      <w:tr w:rsidR="00F73446" w:rsidTr="00F73446">
        <w:tc>
          <w:tcPr>
            <w:tcW w:w="4508" w:type="dxa"/>
            <w:tcBorders>
              <w:bottom w:val="double" w:sz="4" w:space="0" w:color="auto"/>
              <w:right w:val="double" w:sz="4" w:space="0" w:color="auto"/>
            </w:tcBorders>
          </w:tcPr>
          <w:p w:rsidR="00F73446" w:rsidRDefault="00F73446" w:rsidP="000C7B06">
            <w:pPr>
              <w:rPr>
                <w:sz w:val="24"/>
              </w:rPr>
            </w:pPr>
          </w:p>
          <w:p w:rsidR="00F73446" w:rsidRDefault="00F73446" w:rsidP="000C7B06">
            <w:pPr>
              <w:rPr>
                <w:sz w:val="24"/>
              </w:rPr>
            </w:pPr>
            <w:r>
              <w:rPr>
                <w:b/>
                <w:sz w:val="24"/>
              </w:rPr>
              <w:t xml:space="preserve">Article 19: </w:t>
            </w:r>
            <w:r>
              <w:rPr>
                <w:sz w:val="24"/>
              </w:rPr>
              <w:t xml:space="preserve">Emphasises the right of the individuals to live independently in </w:t>
            </w:r>
            <w:r w:rsidR="00B713C9">
              <w:rPr>
                <w:sz w:val="24"/>
              </w:rPr>
              <w:t xml:space="preserve">the community, have a choice regarding where to live, and also have access to community support services to allow independent living. </w:t>
            </w:r>
          </w:p>
          <w:p w:rsidR="00B713C9" w:rsidRPr="00F73446" w:rsidRDefault="00B713C9" w:rsidP="000C7B06">
            <w:pPr>
              <w:rPr>
                <w:sz w:val="24"/>
              </w:rPr>
            </w:pPr>
          </w:p>
        </w:tc>
        <w:tc>
          <w:tcPr>
            <w:tcW w:w="4508" w:type="dxa"/>
            <w:tcBorders>
              <w:left w:val="double" w:sz="4" w:space="0" w:color="auto"/>
              <w:bottom w:val="double" w:sz="4" w:space="0" w:color="auto"/>
            </w:tcBorders>
          </w:tcPr>
          <w:p w:rsidR="00F73446" w:rsidRDefault="00F73446" w:rsidP="000C7B06">
            <w:pPr>
              <w:rPr>
                <w:sz w:val="24"/>
              </w:rPr>
            </w:pPr>
          </w:p>
          <w:p w:rsidR="00B713C9" w:rsidRDefault="00B713C9" w:rsidP="000C7B06">
            <w:pPr>
              <w:rPr>
                <w:sz w:val="24"/>
              </w:rPr>
            </w:pPr>
            <w:r>
              <w:rPr>
                <w:b/>
                <w:sz w:val="24"/>
              </w:rPr>
              <w:t xml:space="preserve">Article 25: </w:t>
            </w:r>
            <w:r>
              <w:rPr>
                <w:sz w:val="24"/>
              </w:rPr>
              <w:t xml:space="preserve">This article is important because it further talks about the legal capacity of a person with mental illness within the realm of health services. Capacity in this sense would amount to having the right to gain access to highest attainable standard of health, to decide the nature of treatment and to refuse treatment. </w:t>
            </w:r>
          </w:p>
          <w:p w:rsidR="00B713C9" w:rsidRPr="00B713C9" w:rsidRDefault="00B713C9" w:rsidP="000C7B06">
            <w:pPr>
              <w:rPr>
                <w:sz w:val="24"/>
              </w:rPr>
            </w:pPr>
          </w:p>
        </w:tc>
      </w:tr>
    </w:tbl>
    <w:p w:rsidR="00F73446" w:rsidRDefault="00F73446" w:rsidP="000C7B06">
      <w:pPr>
        <w:rPr>
          <w:sz w:val="24"/>
        </w:rPr>
      </w:pPr>
    </w:p>
    <w:p w:rsidR="005A72E6" w:rsidRDefault="005A72E6" w:rsidP="000C7B06">
      <w:pPr>
        <w:rPr>
          <w:sz w:val="24"/>
        </w:rPr>
      </w:pPr>
      <w:r>
        <w:rPr>
          <w:sz w:val="24"/>
        </w:rPr>
        <w:t xml:space="preserve">Issues related to involuntary admission, involuntary treatment, seclusion and restraint amount to a deprivation of liberty of person with mental illness. These practices continue to exist in the name of working towards welfare and betterment in health. However, when </w:t>
      </w:r>
      <w:r>
        <w:rPr>
          <w:sz w:val="24"/>
        </w:rPr>
        <w:lastRenderedPageBreak/>
        <w:t>such practices are carried out without a proper and adequate assessment and monitoring, for prolonged periods of time, it amounts to torture and ill treatment.</w:t>
      </w:r>
    </w:p>
    <w:p w:rsidR="00B713C9" w:rsidRDefault="00B713C9" w:rsidP="000C7B06">
      <w:pPr>
        <w:rPr>
          <w:sz w:val="24"/>
        </w:rPr>
      </w:pPr>
      <w:r>
        <w:rPr>
          <w:sz w:val="24"/>
        </w:rPr>
        <w:t xml:space="preserve">Each of these articles represent different facets of legal capacity. Instruments like the CRPD also recognise and highlight that capacity is evolving and dynamic. While an individual may feel “well enough” to decide at times, there would be times when he/she cannot decide. The purpose of acknowledging the capacity of these individuals is also to provide support in times when they cannot exercise their capacity. </w:t>
      </w:r>
    </w:p>
    <w:p w:rsidR="00823EEC" w:rsidRDefault="005A72E6" w:rsidP="000C7B06">
      <w:pPr>
        <w:rPr>
          <w:b/>
          <w:sz w:val="24"/>
        </w:rPr>
      </w:pPr>
      <w:r>
        <w:rPr>
          <w:b/>
          <w:sz w:val="24"/>
        </w:rPr>
        <w:t>The Indian scenario</w:t>
      </w:r>
    </w:p>
    <w:p w:rsidR="00090A1A" w:rsidRDefault="005A72E6" w:rsidP="000C7B06">
      <w:pPr>
        <w:rPr>
          <w:sz w:val="24"/>
        </w:rPr>
      </w:pPr>
      <w:r>
        <w:rPr>
          <w:sz w:val="24"/>
        </w:rPr>
        <w:t>The Indian scenario is adequately represented within the case history itself. Within the gamut of the Indian Mental Health Act, 1987, legal capacit</w:t>
      </w:r>
      <w:r w:rsidR="00090A1A">
        <w:rPr>
          <w:sz w:val="24"/>
        </w:rPr>
        <w:t xml:space="preserve">y of individuals is discounted. The absence of legal capacity is highlighted and reflected in the statement of object and reasons of the act. Some points of the this section state the following: </w:t>
      </w:r>
    </w:p>
    <w:p w:rsidR="00090A1A" w:rsidRDefault="00090A1A" w:rsidP="000C7B06">
      <w:pPr>
        <w:rPr>
          <w:sz w:val="24"/>
        </w:rPr>
      </w:pPr>
      <w:r>
        <w:rPr>
          <w:sz w:val="24"/>
        </w:rPr>
        <w:t>“</w:t>
      </w:r>
      <w:r w:rsidRPr="00090A1A">
        <w:rPr>
          <w:sz w:val="24"/>
        </w:rPr>
        <w:t xml:space="preserve">It is considered necessary </w:t>
      </w:r>
      <w:r>
        <w:rPr>
          <w:sz w:val="24"/>
        </w:rPr>
        <w:t>–</w:t>
      </w:r>
    </w:p>
    <w:p w:rsidR="00090A1A" w:rsidRDefault="00090A1A" w:rsidP="00090A1A">
      <w:pPr>
        <w:pStyle w:val="ListParagraph"/>
        <w:numPr>
          <w:ilvl w:val="0"/>
          <w:numId w:val="3"/>
        </w:numPr>
        <w:rPr>
          <w:sz w:val="24"/>
        </w:rPr>
      </w:pPr>
      <w:r>
        <w:rPr>
          <w:sz w:val="24"/>
        </w:rPr>
        <w:t>T</w:t>
      </w:r>
      <w:r w:rsidRPr="00090A1A">
        <w:rPr>
          <w:sz w:val="24"/>
        </w:rPr>
        <w:t xml:space="preserve">o regulate admission to psychiatric hospitals or psychiatric nursing homes of mentally ill-persons who do not have sufficient understanding to seek treatment on a voluntary basis, and to protect the rights of such persons while being detained; </w:t>
      </w:r>
    </w:p>
    <w:p w:rsidR="00090A1A" w:rsidRDefault="00090A1A" w:rsidP="00090A1A">
      <w:pPr>
        <w:pStyle w:val="ListParagraph"/>
        <w:numPr>
          <w:ilvl w:val="0"/>
          <w:numId w:val="3"/>
        </w:numPr>
        <w:rPr>
          <w:sz w:val="24"/>
        </w:rPr>
      </w:pPr>
      <w:r w:rsidRPr="00090A1A">
        <w:rPr>
          <w:sz w:val="24"/>
        </w:rPr>
        <w:t>To protect society from the presence of mentally ill persons who have become or might become</w:t>
      </w:r>
      <w:r>
        <w:rPr>
          <w:sz w:val="24"/>
        </w:rPr>
        <w:t xml:space="preserve"> a danger or nuisance to others”</w:t>
      </w:r>
    </w:p>
    <w:p w:rsidR="00CC1F59" w:rsidRDefault="00CC1F59" w:rsidP="00CC1F59">
      <w:pPr>
        <w:rPr>
          <w:sz w:val="24"/>
        </w:rPr>
      </w:pPr>
      <w:r>
        <w:rPr>
          <w:sz w:val="24"/>
        </w:rPr>
        <w:t xml:space="preserve">Within the Indian scenario, Mrs. A would be treated in a similar manner as mentioned in the case. There would be involuntary treatment and admission for her, because of her symptoms and non-compliant behaviour. The reason for such treatment given to her would be to ensure that she does not become a threat to oneself and others and also to prevent the “revolving door situation” of admissions and re-admissions. Since there is no segregation between involuntary admission and treatment; Mrs. A. would be subjected to treatment without her consent and choice, after admission. </w:t>
      </w:r>
    </w:p>
    <w:p w:rsidR="00CC1F59" w:rsidRDefault="00CC1F59" w:rsidP="00CC1F59">
      <w:pPr>
        <w:rPr>
          <w:sz w:val="24"/>
        </w:rPr>
      </w:pPr>
      <w:r>
        <w:rPr>
          <w:sz w:val="24"/>
        </w:rPr>
        <w:t xml:space="preserve">Consent as a concept is not very popular in the Indian context. Additionally, due to the strong influence of the family, caregivers are more often than not family members. They not only take on the responsibility of deciding for their “incapable wards” but are often seen as the first point of contact for such involuntary procedures. Section 18 – 21 of the Indian Mental Health Act, 1987, describe the admission and discharge procedures. Out of these, section 19 provide for categories of involuntary admission. </w:t>
      </w:r>
    </w:p>
    <w:p w:rsidR="00CC1F59" w:rsidRDefault="00CC1F59" w:rsidP="00CC1F59">
      <w:pPr>
        <w:rPr>
          <w:sz w:val="24"/>
        </w:rPr>
      </w:pPr>
      <w:r>
        <w:rPr>
          <w:sz w:val="24"/>
        </w:rPr>
        <w:t xml:space="preserve">In the Indian scenario, Mrs. A’s husband and children would be contacted for consent and not Mrs. A, considering that she is violent and incapable to make decisions regarding her own health and welfare. For all other involuntary procedures - restraint, medication or any other form of treatment, the consent given by the caregivers at the time of admission would be considered valid. Mrs. A would have no forums or platforms to express her grievances or appeal the involuntary nature of treatment meted out to her. </w:t>
      </w:r>
    </w:p>
    <w:p w:rsidR="00681A6D" w:rsidRDefault="00681A6D" w:rsidP="00CC1F59">
      <w:pPr>
        <w:rPr>
          <w:b/>
          <w:i/>
          <w:sz w:val="24"/>
        </w:rPr>
      </w:pPr>
    </w:p>
    <w:p w:rsidR="00681A6D" w:rsidRDefault="00681A6D" w:rsidP="00CC1F59">
      <w:pPr>
        <w:rPr>
          <w:b/>
          <w:i/>
          <w:sz w:val="24"/>
        </w:rPr>
      </w:pPr>
    </w:p>
    <w:p w:rsidR="00CC1F59" w:rsidRDefault="00681A6D" w:rsidP="00CC1F59">
      <w:pPr>
        <w:rPr>
          <w:b/>
          <w:i/>
          <w:sz w:val="24"/>
        </w:rPr>
      </w:pPr>
      <w:r>
        <w:rPr>
          <w:b/>
          <w:i/>
          <w:sz w:val="24"/>
        </w:rPr>
        <w:lastRenderedPageBreak/>
        <w:t>Changes in the legislation</w:t>
      </w:r>
    </w:p>
    <w:p w:rsidR="00681A6D" w:rsidRDefault="00681A6D" w:rsidP="00CC1F59">
      <w:pPr>
        <w:rPr>
          <w:sz w:val="24"/>
        </w:rPr>
      </w:pPr>
      <w:r>
        <w:rPr>
          <w:sz w:val="24"/>
        </w:rPr>
        <w:t>From a sociological point of view, just as the prevalent social values can get reflected in the laws prevailing in the country; legislation is also a powerful tool to change the structure of social values and norms. Efforts to recognise the legal capacity of those with mental illness have been initiated through the drafting of the Mental Health Care Bill,</w:t>
      </w:r>
      <w:r w:rsidR="002F7A9E">
        <w:rPr>
          <w:sz w:val="24"/>
        </w:rPr>
        <w:t xml:space="preserve"> which is yet to be enacted. Some of the features of the bill are as follows:</w:t>
      </w:r>
    </w:p>
    <w:p w:rsidR="002F7A9E" w:rsidRDefault="002F7A9E" w:rsidP="002F7A9E">
      <w:pPr>
        <w:pStyle w:val="ListParagraph"/>
        <w:numPr>
          <w:ilvl w:val="0"/>
          <w:numId w:val="3"/>
        </w:numPr>
        <w:rPr>
          <w:sz w:val="24"/>
        </w:rPr>
      </w:pPr>
      <w:r>
        <w:rPr>
          <w:sz w:val="24"/>
        </w:rPr>
        <w:t>Rights of persons with mental illness – which talks about access to care and treatment, equal representation before the law, freedom from torture and ill treatment, access to medical records, access to complaint mechanisms and appealing involuntary treatment.</w:t>
      </w:r>
    </w:p>
    <w:p w:rsidR="002F7A9E" w:rsidRDefault="002F7A9E" w:rsidP="002F7A9E">
      <w:pPr>
        <w:pStyle w:val="ListParagraph"/>
        <w:numPr>
          <w:ilvl w:val="0"/>
          <w:numId w:val="3"/>
        </w:numPr>
        <w:rPr>
          <w:sz w:val="24"/>
        </w:rPr>
      </w:pPr>
      <w:r>
        <w:rPr>
          <w:sz w:val="24"/>
        </w:rPr>
        <w:t xml:space="preserve">Advance directives: to be treated the way they want to be treated, certified by a medical practitioner or a Mental Health board. </w:t>
      </w:r>
    </w:p>
    <w:p w:rsidR="00D97670" w:rsidRDefault="00D97670" w:rsidP="002F7A9E">
      <w:pPr>
        <w:pStyle w:val="ListParagraph"/>
        <w:numPr>
          <w:ilvl w:val="0"/>
          <w:numId w:val="3"/>
        </w:numPr>
        <w:rPr>
          <w:sz w:val="24"/>
        </w:rPr>
      </w:pPr>
      <w:r>
        <w:rPr>
          <w:sz w:val="24"/>
        </w:rPr>
        <w:t xml:space="preserve">Nominated representatives: to nominate individuals who could take decisions on behalf of the person with mental illness based on his/her preferences stated in an advance directive. </w:t>
      </w:r>
    </w:p>
    <w:p w:rsidR="00D97670" w:rsidRDefault="00D97670" w:rsidP="00D97670">
      <w:pPr>
        <w:pStyle w:val="ListParagraph"/>
        <w:numPr>
          <w:ilvl w:val="0"/>
          <w:numId w:val="3"/>
        </w:numPr>
        <w:rPr>
          <w:sz w:val="24"/>
        </w:rPr>
      </w:pPr>
      <w:r>
        <w:rPr>
          <w:sz w:val="24"/>
        </w:rPr>
        <w:t xml:space="preserve">Setting up of state and central Mental Health Authority and Mental Health establishments to review complaints and deficiencies in services. </w:t>
      </w:r>
    </w:p>
    <w:p w:rsidR="00D97670" w:rsidRDefault="00D97670" w:rsidP="00D97670">
      <w:pPr>
        <w:rPr>
          <w:sz w:val="24"/>
        </w:rPr>
      </w:pPr>
      <w:r>
        <w:rPr>
          <w:sz w:val="24"/>
        </w:rPr>
        <w:t xml:space="preserve">These are important and concrete steps towards provision of legal capacity. Such a legislation operating in a country like India, needs to define capacity and competence, state the criteria for determining them, lay down the procedure for assessing them, and identify the actions that need to be taken when there is a finding of lack of capacity and/or competence. </w:t>
      </w:r>
    </w:p>
    <w:p w:rsidR="00D97670" w:rsidRPr="00D97670" w:rsidRDefault="00D97670" w:rsidP="00D97670">
      <w:pPr>
        <w:rPr>
          <w:sz w:val="24"/>
        </w:rPr>
      </w:pPr>
      <w:r>
        <w:rPr>
          <w:sz w:val="24"/>
        </w:rPr>
        <w:t xml:space="preserve">The effort is to encourage, promote, provide support and help to individuals to exercise their capacity to the </w:t>
      </w:r>
      <w:r w:rsidR="00C73358">
        <w:rPr>
          <w:sz w:val="24"/>
        </w:rPr>
        <w:t xml:space="preserve">fullest extent possible. </w:t>
      </w:r>
      <w:bookmarkStart w:id="0" w:name="_GoBack"/>
      <w:bookmarkEnd w:id="0"/>
    </w:p>
    <w:sectPr w:rsidR="00D97670" w:rsidRPr="00D97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0173B"/>
    <w:multiLevelType w:val="hybridMultilevel"/>
    <w:tmpl w:val="74C06D9C"/>
    <w:lvl w:ilvl="0" w:tplc="7C8C653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4621CD"/>
    <w:multiLevelType w:val="hybridMultilevel"/>
    <w:tmpl w:val="3ECA46B6"/>
    <w:lvl w:ilvl="0" w:tplc="4C2498C4">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65249E2"/>
    <w:multiLevelType w:val="hybridMultilevel"/>
    <w:tmpl w:val="7A0C7C2E"/>
    <w:lvl w:ilvl="0" w:tplc="8726298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CC"/>
    <w:rsid w:val="00090A1A"/>
    <w:rsid w:val="000C7B06"/>
    <w:rsid w:val="0010677A"/>
    <w:rsid w:val="001C31E2"/>
    <w:rsid w:val="001E3DA2"/>
    <w:rsid w:val="001F69D4"/>
    <w:rsid w:val="00262861"/>
    <w:rsid w:val="002F7A9E"/>
    <w:rsid w:val="00370338"/>
    <w:rsid w:val="004D4E73"/>
    <w:rsid w:val="005A72E6"/>
    <w:rsid w:val="005F1E6F"/>
    <w:rsid w:val="00681A6D"/>
    <w:rsid w:val="00751D68"/>
    <w:rsid w:val="00823EEC"/>
    <w:rsid w:val="0096224C"/>
    <w:rsid w:val="00B029C0"/>
    <w:rsid w:val="00B50769"/>
    <w:rsid w:val="00B713C9"/>
    <w:rsid w:val="00B71E90"/>
    <w:rsid w:val="00B802CC"/>
    <w:rsid w:val="00BC4359"/>
    <w:rsid w:val="00C376B1"/>
    <w:rsid w:val="00C73358"/>
    <w:rsid w:val="00C735E4"/>
    <w:rsid w:val="00CC1F59"/>
    <w:rsid w:val="00D02840"/>
    <w:rsid w:val="00D97670"/>
    <w:rsid w:val="00EA2FC4"/>
    <w:rsid w:val="00ED45EA"/>
    <w:rsid w:val="00F734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9A72E-8A96-4039-AF27-B5D6DBA2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69"/>
    <w:pPr>
      <w:ind w:left="720"/>
      <w:contextualSpacing/>
    </w:pPr>
  </w:style>
  <w:style w:type="table" w:styleId="TableGrid">
    <w:name w:val="Table Grid"/>
    <w:basedOn w:val="TableNormal"/>
    <w:uiPriority w:val="39"/>
    <w:rsid w:val="00F73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 Law Society</dc:creator>
  <cp:keywords/>
  <dc:description/>
  <cp:lastModifiedBy>Indian Law Society</cp:lastModifiedBy>
  <cp:revision>5</cp:revision>
  <dcterms:created xsi:type="dcterms:W3CDTF">2015-03-31T09:22:00Z</dcterms:created>
  <dcterms:modified xsi:type="dcterms:W3CDTF">2015-03-31T17:32:00Z</dcterms:modified>
</cp:coreProperties>
</file>