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042" w:rsidRDefault="00E54042" w:rsidP="00AA6F25">
      <w:pPr>
        <w:tabs>
          <w:tab w:val="left" w:pos="7938"/>
          <w:tab w:val="left" w:pos="8647"/>
          <w:tab w:val="left" w:pos="9214"/>
          <w:tab w:val="left" w:pos="9781"/>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w:t>
      </w:r>
      <w:r w:rsidRPr="00E54042">
        <w:rPr>
          <w:rFonts w:ascii="Times New Roman" w:hAnsi="Times New Roman" w:cs="Times New Roman"/>
          <w:color w:val="000000"/>
          <w:sz w:val="20"/>
          <w:szCs w:val="20"/>
        </w:rPr>
        <w:t>ssigment- 6</w:t>
      </w:r>
      <w:r>
        <w:rPr>
          <w:rFonts w:ascii="Times New Roman" w:hAnsi="Times New Roman" w:cs="Times New Roman"/>
          <w:color w:val="000000"/>
          <w:sz w:val="20"/>
          <w:szCs w:val="20"/>
        </w:rPr>
        <w:t>, Dr.Harun Mansuri :</w:t>
      </w:r>
      <w:bookmarkStart w:id="0" w:name="_GoBack"/>
      <w:bookmarkEnd w:id="0"/>
    </w:p>
    <w:p w:rsidR="00E54042" w:rsidRDefault="00E54042" w:rsidP="00AA6F25">
      <w:pPr>
        <w:tabs>
          <w:tab w:val="left" w:pos="7938"/>
          <w:tab w:val="left" w:pos="8647"/>
          <w:tab w:val="left" w:pos="9214"/>
          <w:tab w:val="left" w:pos="9781"/>
        </w:tabs>
        <w:autoSpaceDE w:val="0"/>
        <w:autoSpaceDN w:val="0"/>
        <w:adjustRightInd w:val="0"/>
        <w:spacing w:after="0" w:line="240" w:lineRule="auto"/>
        <w:rPr>
          <w:rFonts w:ascii="Times New Roman" w:hAnsi="Times New Roman" w:cs="Times New Roman"/>
          <w:color w:val="000000"/>
          <w:sz w:val="20"/>
          <w:szCs w:val="20"/>
        </w:rPr>
      </w:pPr>
    </w:p>
    <w:p w:rsidR="00AA6F25" w:rsidRPr="00371BDA" w:rsidRDefault="00AA6F25" w:rsidP="00AA6F25">
      <w:pPr>
        <w:tabs>
          <w:tab w:val="left" w:pos="7938"/>
          <w:tab w:val="left" w:pos="8647"/>
          <w:tab w:val="left" w:pos="9214"/>
          <w:tab w:val="left" w:pos="9781"/>
        </w:tabs>
        <w:autoSpaceDE w:val="0"/>
        <w:autoSpaceDN w:val="0"/>
        <w:adjustRightInd w:val="0"/>
        <w:spacing w:after="0" w:line="240" w:lineRule="auto"/>
        <w:rPr>
          <w:rFonts w:ascii="Times New Roman" w:hAnsi="Times New Roman" w:cs="Times New Roman"/>
          <w:color w:val="000000"/>
          <w:sz w:val="20"/>
          <w:szCs w:val="20"/>
        </w:rPr>
      </w:pPr>
      <w:r w:rsidRPr="00371BDA">
        <w:rPr>
          <w:rFonts w:ascii="Times New Roman" w:hAnsi="Times New Roman" w:cs="Times New Roman"/>
          <w:color w:val="000000"/>
          <w:sz w:val="20"/>
          <w:szCs w:val="20"/>
        </w:rPr>
        <w:t>Mrs.A</w:t>
      </w:r>
      <w:r w:rsidR="008861D6" w:rsidRPr="00371BDA">
        <w:rPr>
          <w:rFonts w:ascii="Times New Roman" w:hAnsi="Times New Roman" w:cs="Times New Roman"/>
          <w:color w:val="000000"/>
          <w:sz w:val="20"/>
          <w:szCs w:val="20"/>
        </w:rPr>
        <w:t xml:space="preserve"> are often segregat</w:t>
      </w:r>
      <w:r w:rsidRPr="00371BDA">
        <w:rPr>
          <w:rFonts w:ascii="Times New Roman" w:hAnsi="Times New Roman" w:cs="Times New Roman"/>
          <w:color w:val="000000"/>
          <w:sz w:val="20"/>
          <w:szCs w:val="20"/>
        </w:rPr>
        <w:t>ed from society in institutions by</w:t>
      </w:r>
      <w:r w:rsidR="008861D6" w:rsidRPr="00371BDA">
        <w:rPr>
          <w:rFonts w:ascii="Times New Roman" w:hAnsi="Times New Roman" w:cs="Times New Roman"/>
          <w:color w:val="000000"/>
          <w:sz w:val="20"/>
          <w:szCs w:val="20"/>
        </w:rPr>
        <w:t xml:space="preserve"> mental health institutions. They are deprived of their liberty for long periods of time including what may amount to a lifel</w:t>
      </w:r>
      <w:r w:rsidRPr="00371BDA">
        <w:rPr>
          <w:rFonts w:ascii="Times New Roman" w:hAnsi="Times New Roman" w:cs="Times New Roman"/>
          <w:color w:val="000000"/>
          <w:sz w:val="20"/>
          <w:szCs w:val="20"/>
        </w:rPr>
        <w:t>ong experience, against he</w:t>
      </w:r>
      <w:r w:rsidR="008861D6" w:rsidRPr="00371BDA">
        <w:rPr>
          <w:rFonts w:ascii="Times New Roman" w:hAnsi="Times New Roman" w:cs="Times New Roman"/>
          <w:color w:val="000000"/>
          <w:sz w:val="20"/>
          <w:szCs w:val="20"/>
        </w:rPr>
        <w:t xml:space="preserve">r will </w:t>
      </w:r>
      <w:r w:rsidRPr="00371BDA">
        <w:rPr>
          <w:rFonts w:ascii="Times New Roman" w:hAnsi="Times New Roman" w:cs="Times New Roman"/>
          <w:color w:val="000000"/>
          <w:sz w:val="20"/>
          <w:szCs w:val="20"/>
        </w:rPr>
        <w:t>and</w:t>
      </w:r>
      <w:r w:rsidR="008861D6" w:rsidRPr="00371BDA">
        <w:rPr>
          <w:rFonts w:ascii="Times New Roman" w:hAnsi="Times New Roman" w:cs="Times New Roman"/>
          <w:color w:val="000000"/>
          <w:sz w:val="20"/>
          <w:szCs w:val="20"/>
        </w:rPr>
        <w:t xml:space="preserve"> without their free an</w:t>
      </w:r>
      <w:r w:rsidRPr="00371BDA">
        <w:rPr>
          <w:rFonts w:ascii="Times New Roman" w:hAnsi="Times New Roman" w:cs="Times New Roman"/>
          <w:color w:val="000000"/>
          <w:sz w:val="20"/>
          <w:szCs w:val="20"/>
        </w:rPr>
        <w:t>d informed consent. Inside this institution</w:t>
      </w:r>
      <w:r w:rsidR="008861D6" w:rsidRPr="00371BDA">
        <w:rPr>
          <w:rFonts w:ascii="Times New Roman" w:hAnsi="Times New Roman" w:cs="Times New Roman"/>
          <w:color w:val="000000"/>
          <w:sz w:val="20"/>
          <w:szCs w:val="20"/>
        </w:rPr>
        <w:t xml:space="preserve">, </w:t>
      </w:r>
      <w:r w:rsidRPr="00371BDA">
        <w:rPr>
          <w:rFonts w:ascii="Times New Roman" w:hAnsi="Times New Roman" w:cs="Times New Roman"/>
          <w:color w:val="000000"/>
          <w:sz w:val="20"/>
          <w:szCs w:val="20"/>
        </w:rPr>
        <w:t>Mrs.A</w:t>
      </w:r>
      <w:r w:rsidR="008861D6" w:rsidRPr="00371BDA">
        <w:rPr>
          <w:rFonts w:ascii="Times New Roman" w:hAnsi="Times New Roman" w:cs="Times New Roman"/>
          <w:color w:val="000000"/>
          <w:sz w:val="20"/>
          <w:szCs w:val="20"/>
        </w:rPr>
        <w:t xml:space="preserve"> are frequently subjected to unspeakable indignities, neglect, severe forms of restraint and seclusion, as well a</w:t>
      </w:r>
      <w:r w:rsidRPr="00371BDA">
        <w:rPr>
          <w:rFonts w:ascii="Times New Roman" w:hAnsi="Times New Roman" w:cs="Times New Roman"/>
          <w:color w:val="000000"/>
          <w:sz w:val="20"/>
          <w:szCs w:val="20"/>
        </w:rPr>
        <w:t>s physical and</w:t>
      </w:r>
      <w:r w:rsidR="008861D6" w:rsidRPr="00371BDA">
        <w:rPr>
          <w:rFonts w:ascii="Times New Roman" w:hAnsi="Times New Roman" w:cs="Times New Roman"/>
          <w:color w:val="000000"/>
          <w:sz w:val="20"/>
          <w:szCs w:val="20"/>
        </w:rPr>
        <w:t xml:space="preserve"> mental violence. The lack of reasonable accommodation in detention facilities may increase the risk of exposure to neglect, violence, abuse, torture and ill-treatment.</w:t>
      </w:r>
      <w:r w:rsidRPr="00371BDA">
        <w:rPr>
          <w:rFonts w:ascii="Times New Roman" w:hAnsi="Times New Roman" w:cs="Times New Roman"/>
          <w:color w:val="000000"/>
          <w:sz w:val="20"/>
          <w:szCs w:val="20"/>
        </w:rPr>
        <w:t xml:space="preserve"> </w:t>
      </w:r>
    </w:p>
    <w:p w:rsidR="00AA6F25" w:rsidRPr="00B546FC" w:rsidRDefault="00AA6F25" w:rsidP="00AA6F25">
      <w:pPr>
        <w:tabs>
          <w:tab w:val="left" w:pos="7938"/>
          <w:tab w:val="left" w:pos="8647"/>
          <w:tab w:val="left" w:pos="9214"/>
          <w:tab w:val="left" w:pos="9781"/>
        </w:tabs>
        <w:autoSpaceDE w:val="0"/>
        <w:autoSpaceDN w:val="0"/>
        <w:adjustRightInd w:val="0"/>
        <w:spacing w:after="0" w:line="240" w:lineRule="auto"/>
        <w:rPr>
          <w:rFonts w:ascii="Times New Roman" w:hAnsi="Times New Roman" w:cs="Times New Roman"/>
          <w:b/>
          <w:bCs/>
          <w:color w:val="000000"/>
          <w:sz w:val="20"/>
          <w:szCs w:val="20"/>
        </w:rPr>
      </w:pPr>
      <w:r w:rsidRPr="00B546FC">
        <w:rPr>
          <w:rFonts w:ascii="Times New Roman" w:hAnsi="Times New Roman" w:cs="Times New Roman"/>
          <w:b/>
          <w:bCs/>
          <w:color w:val="000000"/>
          <w:sz w:val="20"/>
          <w:szCs w:val="20"/>
        </w:rPr>
        <w:t>Article 6</w:t>
      </w:r>
      <w:r w:rsidR="005C50DA">
        <w:rPr>
          <w:rFonts w:ascii="Times New Roman" w:hAnsi="Times New Roman" w:cs="Times New Roman"/>
          <w:b/>
          <w:bCs/>
          <w:color w:val="000000"/>
          <w:sz w:val="20"/>
          <w:szCs w:val="20"/>
        </w:rPr>
        <w:t>-CRPD</w:t>
      </w:r>
    </w:p>
    <w:p w:rsidR="00AA6F25" w:rsidRPr="00B546FC" w:rsidRDefault="00AA6F25" w:rsidP="00AA6F25">
      <w:pPr>
        <w:tabs>
          <w:tab w:val="left" w:pos="7938"/>
          <w:tab w:val="left" w:pos="8647"/>
          <w:tab w:val="left" w:pos="9214"/>
          <w:tab w:val="left" w:pos="9781"/>
        </w:tabs>
        <w:autoSpaceDE w:val="0"/>
        <w:autoSpaceDN w:val="0"/>
        <w:adjustRightInd w:val="0"/>
        <w:spacing w:after="0" w:line="240" w:lineRule="auto"/>
        <w:rPr>
          <w:rFonts w:ascii="Times New Roman" w:hAnsi="Times New Roman" w:cs="Times New Roman"/>
          <w:sz w:val="24"/>
          <w:szCs w:val="24"/>
        </w:rPr>
      </w:pPr>
      <w:r w:rsidRPr="00B546FC">
        <w:rPr>
          <w:rFonts w:ascii="Times New Roman" w:hAnsi="Times New Roman" w:cs="Times New Roman"/>
          <w:b/>
          <w:bCs/>
          <w:color w:val="000000"/>
          <w:sz w:val="20"/>
          <w:szCs w:val="20"/>
        </w:rPr>
        <w:t xml:space="preserve">Women with disabilities </w:t>
      </w:r>
    </w:p>
    <w:p w:rsidR="00AA6F25" w:rsidRPr="00B546FC" w:rsidRDefault="00AA6F25" w:rsidP="00AA6F25">
      <w:pPr>
        <w:tabs>
          <w:tab w:val="left" w:pos="7938"/>
          <w:tab w:val="left" w:pos="8647"/>
          <w:tab w:val="left" w:pos="9214"/>
          <w:tab w:val="left" w:pos="9781"/>
        </w:tabs>
        <w:autoSpaceDE w:val="0"/>
        <w:autoSpaceDN w:val="0"/>
        <w:adjustRightInd w:val="0"/>
        <w:spacing w:after="0" w:line="240" w:lineRule="auto"/>
        <w:rPr>
          <w:rFonts w:ascii="Times New Roman" w:hAnsi="Times New Roman" w:cs="Times New Roman"/>
          <w:color w:val="000000"/>
          <w:sz w:val="20"/>
          <w:szCs w:val="20"/>
        </w:rPr>
      </w:pPr>
    </w:p>
    <w:p w:rsidR="00AA6F25" w:rsidRDefault="00AA6F25" w:rsidP="00AA6F25">
      <w:pPr>
        <w:pStyle w:val="ListParagraph"/>
        <w:numPr>
          <w:ilvl w:val="0"/>
          <w:numId w:val="6"/>
        </w:numPr>
        <w:tabs>
          <w:tab w:val="left" w:pos="7938"/>
          <w:tab w:val="left" w:pos="8647"/>
          <w:tab w:val="left" w:pos="9214"/>
          <w:tab w:val="left" w:pos="9781"/>
        </w:tabs>
        <w:autoSpaceDE w:val="0"/>
        <w:autoSpaceDN w:val="0"/>
        <w:adjustRightInd w:val="0"/>
        <w:spacing w:after="0" w:line="240" w:lineRule="auto"/>
        <w:rPr>
          <w:rFonts w:ascii="Times New Roman" w:hAnsi="Times New Roman" w:cs="Times New Roman"/>
          <w:color w:val="000000"/>
          <w:sz w:val="20"/>
          <w:szCs w:val="20"/>
        </w:rPr>
      </w:pPr>
      <w:r w:rsidRPr="00B546FC">
        <w:rPr>
          <w:rFonts w:ascii="Times New Roman" w:hAnsi="Times New Roman" w:cs="Times New Roman"/>
          <w:color w:val="000000"/>
          <w:sz w:val="20"/>
          <w:szCs w:val="20"/>
        </w:rPr>
        <w:t>States Parties recognize that women and girls with disabilities are</w:t>
      </w:r>
      <w:r>
        <w:rPr>
          <w:rFonts w:ascii="Times New Roman" w:hAnsi="Times New Roman" w:cs="Times New Roman"/>
          <w:color w:val="000000"/>
          <w:sz w:val="20"/>
          <w:szCs w:val="20"/>
        </w:rPr>
        <w:t xml:space="preserve"> </w:t>
      </w:r>
      <w:r w:rsidRPr="00B546FC">
        <w:rPr>
          <w:rFonts w:ascii="Times New Roman" w:hAnsi="Times New Roman" w:cs="Times New Roman"/>
          <w:color w:val="000000"/>
          <w:sz w:val="20"/>
          <w:szCs w:val="20"/>
        </w:rPr>
        <w:t>subject to multiple discrimination, and in this regard shall take measures to</w:t>
      </w:r>
      <w:r>
        <w:rPr>
          <w:rFonts w:ascii="Times New Roman" w:hAnsi="Times New Roman" w:cs="Times New Roman"/>
          <w:color w:val="000000"/>
          <w:sz w:val="20"/>
          <w:szCs w:val="20"/>
        </w:rPr>
        <w:t xml:space="preserve"> </w:t>
      </w:r>
      <w:r w:rsidRPr="00B546FC">
        <w:rPr>
          <w:rFonts w:ascii="Times New Roman" w:hAnsi="Times New Roman" w:cs="Times New Roman"/>
          <w:color w:val="000000"/>
          <w:sz w:val="20"/>
          <w:szCs w:val="20"/>
        </w:rPr>
        <w:t>ensure the full and equal enjoyment by them of all human rights and</w:t>
      </w:r>
      <w:r>
        <w:rPr>
          <w:rFonts w:ascii="Times New Roman" w:hAnsi="Times New Roman" w:cs="Times New Roman"/>
          <w:color w:val="000000"/>
          <w:sz w:val="20"/>
          <w:szCs w:val="20"/>
        </w:rPr>
        <w:t xml:space="preserve"> </w:t>
      </w:r>
      <w:r w:rsidRPr="00B546FC">
        <w:rPr>
          <w:rFonts w:ascii="Times New Roman" w:hAnsi="Times New Roman" w:cs="Times New Roman"/>
          <w:color w:val="000000"/>
          <w:sz w:val="20"/>
          <w:szCs w:val="20"/>
        </w:rPr>
        <w:t>fundamental freedoms.</w:t>
      </w:r>
    </w:p>
    <w:p w:rsidR="00AA6F25" w:rsidRPr="00B546FC" w:rsidRDefault="00AA6F25" w:rsidP="00AA6F25">
      <w:pPr>
        <w:pStyle w:val="ListParagraph"/>
        <w:numPr>
          <w:ilvl w:val="0"/>
          <w:numId w:val="6"/>
        </w:numPr>
        <w:tabs>
          <w:tab w:val="left" w:pos="7938"/>
          <w:tab w:val="left" w:pos="8647"/>
          <w:tab w:val="left" w:pos="9214"/>
          <w:tab w:val="left" w:pos="9781"/>
        </w:tabs>
        <w:autoSpaceDE w:val="0"/>
        <w:autoSpaceDN w:val="0"/>
        <w:adjustRightInd w:val="0"/>
        <w:spacing w:after="0" w:line="240" w:lineRule="auto"/>
        <w:rPr>
          <w:rFonts w:ascii="Times New Roman" w:hAnsi="Times New Roman" w:cs="Times New Roman"/>
          <w:color w:val="000000"/>
          <w:sz w:val="20"/>
          <w:szCs w:val="20"/>
        </w:rPr>
      </w:pPr>
      <w:r w:rsidRPr="00B546FC">
        <w:rPr>
          <w:rFonts w:ascii="Times New Roman" w:hAnsi="Times New Roman" w:cs="Times New Roman"/>
          <w:color w:val="000000"/>
          <w:sz w:val="20"/>
          <w:szCs w:val="20"/>
        </w:rPr>
        <w:t>States Parties shall take all appropriate measures to ensure the full</w:t>
      </w:r>
      <w:r>
        <w:rPr>
          <w:rFonts w:ascii="Times New Roman" w:hAnsi="Times New Roman" w:cs="Times New Roman"/>
          <w:color w:val="000000"/>
          <w:sz w:val="20"/>
          <w:szCs w:val="20"/>
        </w:rPr>
        <w:t xml:space="preserve"> </w:t>
      </w:r>
      <w:r w:rsidRPr="00B546FC">
        <w:rPr>
          <w:rFonts w:ascii="Times New Roman" w:hAnsi="Times New Roman" w:cs="Times New Roman"/>
          <w:color w:val="000000"/>
          <w:sz w:val="20"/>
          <w:szCs w:val="20"/>
        </w:rPr>
        <w:t>development, advancement and empowerment of women, for the purpose of</w:t>
      </w:r>
      <w:r>
        <w:rPr>
          <w:rFonts w:ascii="Times New Roman" w:hAnsi="Times New Roman" w:cs="Times New Roman"/>
          <w:color w:val="000000"/>
          <w:sz w:val="20"/>
          <w:szCs w:val="20"/>
        </w:rPr>
        <w:t xml:space="preserve"> </w:t>
      </w:r>
      <w:r w:rsidRPr="00B546FC">
        <w:rPr>
          <w:rFonts w:ascii="Times New Roman" w:hAnsi="Times New Roman" w:cs="Times New Roman"/>
          <w:color w:val="000000"/>
          <w:sz w:val="20"/>
          <w:szCs w:val="20"/>
        </w:rPr>
        <w:t>guaranteeing them the exercise and enjoyment of the human rights and</w:t>
      </w:r>
      <w:r>
        <w:rPr>
          <w:rFonts w:ascii="Times New Roman" w:hAnsi="Times New Roman" w:cs="Times New Roman"/>
          <w:color w:val="000000"/>
          <w:sz w:val="20"/>
          <w:szCs w:val="20"/>
        </w:rPr>
        <w:t xml:space="preserve"> </w:t>
      </w:r>
      <w:r w:rsidRPr="00B546FC">
        <w:rPr>
          <w:rFonts w:ascii="Times New Roman" w:hAnsi="Times New Roman" w:cs="Times New Roman"/>
          <w:color w:val="000000"/>
          <w:sz w:val="20"/>
          <w:szCs w:val="20"/>
        </w:rPr>
        <w:t>fundamental freedoms set out in the present Convention.</w:t>
      </w:r>
    </w:p>
    <w:p w:rsidR="00AA6F25" w:rsidRPr="00B546FC" w:rsidRDefault="00AA6F25" w:rsidP="00AA6F25">
      <w:pPr>
        <w:tabs>
          <w:tab w:val="left" w:pos="7938"/>
          <w:tab w:val="left" w:pos="8647"/>
          <w:tab w:val="left" w:pos="9214"/>
          <w:tab w:val="left" w:pos="9781"/>
        </w:tabs>
        <w:autoSpaceDE w:val="0"/>
        <w:autoSpaceDN w:val="0"/>
        <w:adjustRightInd w:val="0"/>
        <w:spacing w:after="0" w:line="240" w:lineRule="auto"/>
        <w:rPr>
          <w:rFonts w:ascii="Times New Roman" w:hAnsi="Times New Roman" w:cs="Times New Roman"/>
          <w:sz w:val="24"/>
          <w:szCs w:val="24"/>
        </w:rPr>
      </w:pPr>
      <w:r w:rsidRPr="00B546FC">
        <w:rPr>
          <w:rFonts w:ascii="Times New Roman" w:hAnsi="Times New Roman" w:cs="Times New Roman"/>
          <w:color w:val="000000"/>
          <w:sz w:val="20"/>
          <w:szCs w:val="20"/>
        </w:rPr>
        <w:t xml:space="preserve"> </w:t>
      </w:r>
    </w:p>
    <w:p w:rsidR="00AA6F25" w:rsidRPr="00B546FC" w:rsidRDefault="00AA6F25" w:rsidP="00AA6F25">
      <w:pPr>
        <w:tabs>
          <w:tab w:val="left" w:pos="7938"/>
          <w:tab w:val="left" w:pos="8647"/>
          <w:tab w:val="left" w:pos="9214"/>
          <w:tab w:val="left" w:pos="9781"/>
        </w:tabs>
        <w:autoSpaceDE w:val="0"/>
        <w:autoSpaceDN w:val="0"/>
        <w:adjustRightInd w:val="0"/>
        <w:spacing w:after="0" w:line="240" w:lineRule="auto"/>
        <w:rPr>
          <w:rFonts w:ascii="Times New Roman" w:hAnsi="Times New Roman" w:cs="Times New Roman"/>
          <w:b/>
          <w:bCs/>
          <w:color w:val="000000"/>
          <w:sz w:val="20"/>
          <w:szCs w:val="20"/>
        </w:rPr>
      </w:pPr>
      <w:r w:rsidRPr="00B546FC">
        <w:rPr>
          <w:rFonts w:ascii="Times New Roman" w:hAnsi="Times New Roman" w:cs="Times New Roman"/>
          <w:b/>
          <w:bCs/>
          <w:color w:val="000000"/>
          <w:sz w:val="20"/>
          <w:szCs w:val="20"/>
        </w:rPr>
        <w:t>Article 10</w:t>
      </w:r>
      <w:r w:rsidR="005C50DA">
        <w:rPr>
          <w:rFonts w:ascii="Times New Roman" w:hAnsi="Times New Roman" w:cs="Times New Roman"/>
          <w:b/>
          <w:bCs/>
          <w:color w:val="000000"/>
          <w:sz w:val="20"/>
          <w:szCs w:val="20"/>
        </w:rPr>
        <w:t>-CRPD</w:t>
      </w:r>
    </w:p>
    <w:p w:rsidR="00AA6F25" w:rsidRPr="00B546FC" w:rsidRDefault="00AA6F25" w:rsidP="00AA6F25">
      <w:pPr>
        <w:tabs>
          <w:tab w:val="left" w:pos="7938"/>
          <w:tab w:val="left" w:pos="8647"/>
          <w:tab w:val="left" w:pos="9214"/>
          <w:tab w:val="left" w:pos="9781"/>
        </w:tabs>
        <w:autoSpaceDE w:val="0"/>
        <w:autoSpaceDN w:val="0"/>
        <w:adjustRightInd w:val="0"/>
        <w:spacing w:after="0" w:line="240" w:lineRule="auto"/>
        <w:rPr>
          <w:rFonts w:ascii="Times New Roman" w:hAnsi="Times New Roman" w:cs="Times New Roman"/>
          <w:sz w:val="24"/>
          <w:szCs w:val="24"/>
        </w:rPr>
      </w:pPr>
      <w:r w:rsidRPr="00B546FC">
        <w:rPr>
          <w:rFonts w:ascii="Times New Roman" w:hAnsi="Times New Roman" w:cs="Times New Roman"/>
          <w:b/>
          <w:bCs/>
          <w:color w:val="000000"/>
          <w:sz w:val="20"/>
          <w:szCs w:val="20"/>
        </w:rPr>
        <w:t xml:space="preserve">Right to life </w:t>
      </w:r>
    </w:p>
    <w:p w:rsidR="00AA6F25" w:rsidRPr="00B546FC" w:rsidRDefault="00AA6F25" w:rsidP="00AA6F25">
      <w:pPr>
        <w:tabs>
          <w:tab w:val="left" w:pos="7938"/>
          <w:tab w:val="left" w:pos="8647"/>
          <w:tab w:val="left" w:pos="9214"/>
          <w:tab w:val="left" w:pos="9781"/>
        </w:tabs>
        <w:autoSpaceDE w:val="0"/>
        <w:autoSpaceDN w:val="0"/>
        <w:adjustRightInd w:val="0"/>
        <w:spacing w:after="0" w:line="240" w:lineRule="auto"/>
        <w:rPr>
          <w:rFonts w:ascii="Times New Roman" w:hAnsi="Times New Roman" w:cs="Times New Roman"/>
          <w:color w:val="000000"/>
          <w:sz w:val="20"/>
          <w:szCs w:val="20"/>
        </w:rPr>
      </w:pPr>
    </w:p>
    <w:p w:rsidR="00AA6F25" w:rsidRPr="00B546FC" w:rsidRDefault="00AA6F25" w:rsidP="00AA6F25">
      <w:pPr>
        <w:pStyle w:val="ListParagraph"/>
        <w:numPr>
          <w:ilvl w:val="0"/>
          <w:numId w:val="7"/>
        </w:numPr>
        <w:tabs>
          <w:tab w:val="left" w:pos="7938"/>
          <w:tab w:val="left" w:pos="8647"/>
          <w:tab w:val="left" w:pos="9214"/>
          <w:tab w:val="left" w:pos="9781"/>
        </w:tabs>
        <w:autoSpaceDE w:val="0"/>
        <w:autoSpaceDN w:val="0"/>
        <w:adjustRightInd w:val="0"/>
        <w:spacing w:after="0" w:line="240" w:lineRule="auto"/>
        <w:rPr>
          <w:rFonts w:ascii="Times New Roman" w:hAnsi="Times New Roman" w:cs="Times New Roman"/>
          <w:color w:val="000000"/>
          <w:sz w:val="20"/>
          <w:szCs w:val="20"/>
        </w:rPr>
      </w:pPr>
      <w:r w:rsidRPr="00B546FC">
        <w:rPr>
          <w:rFonts w:ascii="Times New Roman" w:hAnsi="Times New Roman" w:cs="Times New Roman"/>
          <w:color w:val="000000"/>
          <w:sz w:val="20"/>
          <w:szCs w:val="20"/>
        </w:rPr>
        <w:t>States Parties reaffirm that every human being has the inherent right to</w:t>
      </w:r>
      <w:r>
        <w:rPr>
          <w:rFonts w:ascii="Times New Roman" w:hAnsi="Times New Roman" w:cs="Times New Roman"/>
          <w:color w:val="000000"/>
          <w:sz w:val="20"/>
          <w:szCs w:val="20"/>
        </w:rPr>
        <w:t xml:space="preserve"> </w:t>
      </w:r>
      <w:r w:rsidRPr="00B546FC">
        <w:rPr>
          <w:rFonts w:ascii="Times New Roman" w:hAnsi="Times New Roman" w:cs="Times New Roman"/>
          <w:color w:val="000000"/>
          <w:sz w:val="20"/>
          <w:szCs w:val="20"/>
        </w:rPr>
        <w:t>life and shall take all necessary measures to ensure its effective enjoyment by</w:t>
      </w:r>
      <w:r>
        <w:rPr>
          <w:rFonts w:ascii="Times New Roman" w:hAnsi="Times New Roman" w:cs="Times New Roman"/>
          <w:color w:val="000000"/>
          <w:sz w:val="20"/>
          <w:szCs w:val="20"/>
        </w:rPr>
        <w:t xml:space="preserve"> </w:t>
      </w:r>
      <w:r w:rsidRPr="00B546FC">
        <w:rPr>
          <w:rFonts w:ascii="Times New Roman" w:hAnsi="Times New Roman" w:cs="Times New Roman"/>
          <w:color w:val="000000"/>
          <w:sz w:val="20"/>
          <w:szCs w:val="20"/>
        </w:rPr>
        <w:t>persons with disabilities on an equal basis with others.</w:t>
      </w:r>
    </w:p>
    <w:p w:rsidR="00E90E26" w:rsidRDefault="00E90E26" w:rsidP="00AA6F25">
      <w:pPr>
        <w:pStyle w:val="SingleTxt"/>
        <w:tabs>
          <w:tab w:val="clear" w:pos="1267"/>
          <w:tab w:val="clear" w:pos="1742"/>
          <w:tab w:val="clear" w:pos="2218"/>
          <w:tab w:val="left" w:pos="0"/>
          <w:tab w:val="left" w:pos="284"/>
        </w:tabs>
        <w:ind w:left="720" w:right="95"/>
      </w:pPr>
    </w:p>
    <w:p w:rsidR="00BE1E42" w:rsidRPr="00AA6F25" w:rsidRDefault="00EE69B0" w:rsidP="00BE1E42">
      <w:pPr>
        <w:pStyle w:val="ListParagraph"/>
        <w:numPr>
          <w:ilvl w:val="0"/>
          <w:numId w:val="1"/>
        </w:numPr>
        <w:tabs>
          <w:tab w:val="left" w:pos="7938"/>
          <w:tab w:val="left" w:pos="8647"/>
          <w:tab w:val="left" w:pos="9214"/>
          <w:tab w:val="left" w:pos="9781"/>
        </w:tabs>
        <w:autoSpaceDE w:val="0"/>
        <w:autoSpaceDN w:val="0"/>
        <w:adjustRightInd w:val="0"/>
        <w:spacing w:after="0" w:line="240" w:lineRule="auto"/>
        <w:rPr>
          <w:rFonts w:ascii="Times New Roman" w:eastAsia="Times New Roman" w:hAnsi="Times New Roman" w:cs="Times New Roman"/>
          <w:spacing w:val="4"/>
          <w:w w:val="103"/>
          <w:kern w:val="14"/>
          <w:sz w:val="20"/>
          <w:szCs w:val="20"/>
          <w:lang w:val="en-GB" w:bidi="ar-SA"/>
        </w:rPr>
      </w:pPr>
      <w:r w:rsidRPr="00AA6F25">
        <w:rPr>
          <w:rFonts w:ascii="Times New Roman" w:eastAsia="Times New Roman" w:hAnsi="Times New Roman" w:cs="Times New Roman"/>
          <w:spacing w:val="4"/>
          <w:w w:val="103"/>
          <w:kern w:val="14"/>
          <w:sz w:val="20"/>
          <w:szCs w:val="20"/>
          <w:lang w:val="en-GB" w:bidi="ar-SA"/>
        </w:rPr>
        <w:t xml:space="preserve">The application of article 15 of CRPD concerning the prohibition of torture and ill-treatment can be informed by the definition of torture contained in article 1 of the Convention against Torture. For an act against or an omission with respect to persons with disabilities to constitute torture, the four elements of the Convention definition — severe pain or suffering, intent, purpose and State involvement — need to be present. Acts falling short of this definition may constitute cruel, inhuman or degrading treatment or punishment under article 16 of the Convention against Torture. </w:t>
      </w:r>
    </w:p>
    <w:p w:rsidR="00BE1E42" w:rsidRPr="00AA6F25" w:rsidRDefault="00BE1E42" w:rsidP="00BE1E42">
      <w:pPr>
        <w:pStyle w:val="ListParagraph"/>
        <w:rPr>
          <w:rFonts w:ascii="Times New Roman" w:eastAsia="Times New Roman" w:hAnsi="Times New Roman" w:cs="Times New Roman"/>
          <w:spacing w:val="4"/>
          <w:w w:val="103"/>
          <w:kern w:val="14"/>
          <w:sz w:val="20"/>
          <w:szCs w:val="20"/>
          <w:lang w:val="en-GB" w:bidi="ar-SA"/>
        </w:rPr>
      </w:pPr>
    </w:p>
    <w:p w:rsidR="00EE69B0" w:rsidRPr="00AA6F25" w:rsidRDefault="00EE69B0" w:rsidP="00BE1E42">
      <w:pPr>
        <w:pStyle w:val="ListParagraph"/>
        <w:numPr>
          <w:ilvl w:val="0"/>
          <w:numId w:val="1"/>
        </w:numPr>
        <w:tabs>
          <w:tab w:val="left" w:pos="7938"/>
          <w:tab w:val="left" w:pos="8647"/>
          <w:tab w:val="left" w:pos="9214"/>
          <w:tab w:val="left" w:pos="9781"/>
        </w:tabs>
        <w:autoSpaceDE w:val="0"/>
        <w:autoSpaceDN w:val="0"/>
        <w:adjustRightInd w:val="0"/>
        <w:spacing w:after="0" w:line="240" w:lineRule="auto"/>
        <w:rPr>
          <w:rFonts w:ascii="Times New Roman" w:eastAsia="Times New Roman" w:hAnsi="Times New Roman" w:cs="Times New Roman"/>
          <w:spacing w:val="4"/>
          <w:w w:val="103"/>
          <w:kern w:val="14"/>
          <w:sz w:val="20"/>
          <w:szCs w:val="20"/>
          <w:lang w:val="en-GB" w:bidi="ar-SA"/>
        </w:rPr>
      </w:pPr>
      <w:r w:rsidRPr="00AA6F25">
        <w:rPr>
          <w:rFonts w:ascii="Times New Roman" w:eastAsia="Times New Roman" w:hAnsi="Times New Roman" w:cs="Times New Roman"/>
          <w:spacing w:val="4"/>
          <w:w w:val="103"/>
          <w:kern w:val="14"/>
          <w:sz w:val="20"/>
          <w:szCs w:val="20"/>
          <w:lang w:val="en-GB" w:bidi="ar-SA"/>
        </w:rPr>
        <w:t xml:space="preserve">The application of article 15 of CRPD concerning the prohibition of torture and ill-treatment can be informed by the definition of torture contained in article 1 of the Convention against Torture. For an act against or an omission with respect to persons with disabilities to constitute torture, the four elements of the Convention definition — severe pain or suffering, intent, purpose and State involvement — need to be present. Acts falling short of this definition may constitute cruel, inhuman or degrading treatment or punishment under article 16 of the Convention against Torture. </w:t>
      </w:r>
    </w:p>
    <w:p w:rsidR="00EE69B0" w:rsidRPr="00AA6F25" w:rsidRDefault="00EE69B0" w:rsidP="00EE69B0">
      <w:pPr>
        <w:tabs>
          <w:tab w:val="left" w:pos="7938"/>
          <w:tab w:val="left" w:pos="8647"/>
          <w:tab w:val="left" w:pos="9214"/>
          <w:tab w:val="left" w:pos="9781"/>
        </w:tabs>
        <w:autoSpaceDE w:val="0"/>
        <w:autoSpaceDN w:val="0"/>
        <w:adjustRightInd w:val="0"/>
        <w:spacing w:after="0" w:line="240" w:lineRule="auto"/>
        <w:rPr>
          <w:rFonts w:ascii="Times New Roman" w:eastAsia="Times New Roman" w:hAnsi="Times New Roman" w:cs="Times New Roman"/>
          <w:spacing w:val="4"/>
          <w:w w:val="103"/>
          <w:kern w:val="14"/>
          <w:sz w:val="20"/>
          <w:szCs w:val="20"/>
          <w:lang w:val="en-GB" w:bidi="ar-SA"/>
        </w:rPr>
      </w:pPr>
    </w:p>
    <w:p w:rsidR="008861D6" w:rsidRPr="00C43ED7" w:rsidRDefault="00F91134" w:rsidP="00C43ED7">
      <w:pPr>
        <w:rPr>
          <w:rFonts w:ascii="Times New Roman" w:eastAsia="Times New Roman" w:hAnsi="Times New Roman" w:cs="Times New Roman"/>
          <w:spacing w:val="4"/>
          <w:w w:val="103"/>
          <w:kern w:val="14"/>
          <w:sz w:val="20"/>
          <w:szCs w:val="20"/>
          <w:lang w:val="en-GB" w:bidi="ar-SA"/>
        </w:rPr>
      </w:pPr>
      <w:r w:rsidRPr="00AA6F25">
        <w:rPr>
          <w:rFonts w:ascii="Times New Roman" w:eastAsia="Times New Roman" w:hAnsi="Times New Roman" w:cs="Times New Roman"/>
          <w:spacing w:val="4"/>
          <w:w w:val="103"/>
          <w:kern w:val="14"/>
          <w:sz w:val="20"/>
          <w:szCs w:val="20"/>
          <w:lang w:val="en-GB" w:bidi="ar-SA"/>
        </w:rPr>
        <w:t>The torture and ill-treatment protection framework to persons with disabilities</w:t>
      </w:r>
    </w:p>
    <w:p w:rsidR="008861D6" w:rsidRDefault="008861D6" w:rsidP="00A40B67">
      <w:pPr>
        <w:pStyle w:val="SingleTxt"/>
        <w:tabs>
          <w:tab w:val="clear" w:pos="1267"/>
          <w:tab w:val="clear" w:pos="1742"/>
          <w:tab w:val="clear" w:pos="2218"/>
          <w:tab w:val="left" w:pos="0"/>
          <w:tab w:val="left" w:pos="284"/>
        </w:tabs>
        <w:ind w:left="0" w:right="95"/>
      </w:pPr>
      <w:r>
        <w:t xml:space="preserve">The application of </w:t>
      </w:r>
      <w:r w:rsidRPr="00EE69B0">
        <w:t>article 15</w:t>
      </w:r>
      <w:r>
        <w:t xml:space="preserve"> of CRPD concerning the prohibition of torture and ill-treatment can be informed by the definition of torture contained in article 1 of the Convention against Torture. For an act against or an omission with respect to persons with disabilities to constitute torture, the four elements of the Convention definition — severe pain or suffering, intent, purpose and State involvement — need to be present. Acts falling short of this definition may constitute cruel, inhuman or degrading treatment or punishment under </w:t>
      </w:r>
      <w:r w:rsidRPr="00EE69B0">
        <w:t>article 16</w:t>
      </w:r>
      <w:r>
        <w:t xml:space="preserve"> of the Convention against Torture. </w:t>
      </w:r>
    </w:p>
    <w:p w:rsidR="008861D6" w:rsidRPr="0078043B" w:rsidRDefault="00A40B67" w:rsidP="008861D6">
      <w:pPr>
        <w:pStyle w:val="SingleTxt"/>
        <w:tabs>
          <w:tab w:val="clear" w:pos="1267"/>
          <w:tab w:val="clear" w:pos="1742"/>
          <w:tab w:val="clear" w:pos="2218"/>
          <w:tab w:val="left" w:pos="0"/>
          <w:tab w:val="left" w:pos="284"/>
        </w:tabs>
        <w:ind w:left="0" w:right="95"/>
      </w:pPr>
      <w:r>
        <w:t xml:space="preserve"> </w:t>
      </w:r>
      <w:r w:rsidR="008861D6">
        <w:t>Use of restraints, and seclusion</w:t>
      </w:r>
    </w:p>
    <w:p w:rsidR="008861D6" w:rsidRDefault="008861D6" w:rsidP="00886CC6">
      <w:pPr>
        <w:pStyle w:val="SingleTxt"/>
        <w:numPr>
          <w:ilvl w:val="0"/>
          <w:numId w:val="5"/>
        </w:numPr>
        <w:tabs>
          <w:tab w:val="clear" w:pos="1267"/>
          <w:tab w:val="clear" w:pos="1742"/>
          <w:tab w:val="clear" w:pos="2218"/>
          <w:tab w:val="left" w:pos="0"/>
          <w:tab w:val="left" w:pos="284"/>
        </w:tabs>
        <w:ind w:right="95"/>
      </w:pPr>
      <w:r>
        <w:t xml:space="preserve">Poor conditions in institutions are often coupled with severe forms of restraint and seclusion. Children and adults with disabilities may be tied to their beds, cribs or chairs for prolonged periods, including with chains and handcuffs; they may be locked in “cage” or “net beds” and may be overmedicated as a form of chemical restraint. It is important to note that “prolonged use of restraint can lead to muscle atrophy, life-threatening deformities and even organ failure”, </w:t>
      </w:r>
      <w:r w:rsidR="00C43ED7">
        <w:t xml:space="preserve">In this case Mrs.A was suffering from </w:t>
      </w:r>
      <w:r w:rsidR="00C43ED7" w:rsidRPr="00C43ED7">
        <w:t>thrombo-embolism of central pulmonary artery due to immobilization</w:t>
      </w:r>
      <w:r>
        <w:t xml:space="preserve">. The Special Rapporteur notes that there can be no therapeutic justification for the prolonged use of restraints, which may amount to torture or ill-treatment. </w:t>
      </w:r>
    </w:p>
    <w:p w:rsidR="00C43ED7" w:rsidRDefault="00C43ED7" w:rsidP="008861D6">
      <w:pPr>
        <w:pStyle w:val="SingleTxt"/>
        <w:tabs>
          <w:tab w:val="clear" w:pos="1267"/>
          <w:tab w:val="clear" w:pos="1742"/>
          <w:tab w:val="clear" w:pos="2218"/>
          <w:tab w:val="left" w:pos="0"/>
          <w:tab w:val="left" w:pos="284"/>
        </w:tabs>
        <w:ind w:left="0" w:right="95"/>
      </w:pPr>
    </w:p>
    <w:p w:rsidR="005C50DA" w:rsidRDefault="005C50DA" w:rsidP="008861D6">
      <w:pPr>
        <w:pStyle w:val="SingleTxt"/>
        <w:tabs>
          <w:tab w:val="clear" w:pos="1267"/>
          <w:tab w:val="clear" w:pos="1742"/>
          <w:tab w:val="clear" w:pos="2218"/>
          <w:tab w:val="left" w:pos="0"/>
          <w:tab w:val="left" w:pos="284"/>
        </w:tabs>
        <w:ind w:left="0" w:right="95"/>
      </w:pPr>
    </w:p>
    <w:p w:rsidR="005C50DA" w:rsidRDefault="005C50DA" w:rsidP="008861D6">
      <w:pPr>
        <w:pStyle w:val="SingleTxt"/>
        <w:tabs>
          <w:tab w:val="clear" w:pos="1267"/>
          <w:tab w:val="clear" w:pos="1742"/>
          <w:tab w:val="clear" w:pos="2218"/>
          <w:tab w:val="left" w:pos="0"/>
          <w:tab w:val="left" w:pos="284"/>
        </w:tabs>
        <w:ind w:left="0" w:right="95"/>
      </w:pPr>
    </w:p>
    <w:p w:rsidR="005C50DA" w:rsidRDefault="005C50DA" w:rsidP="008861D6">
      <w:pPr>
        <w:pStyle w:val="SingleTxt"/>
        <w:tabs>
          <w:tab w:val="clear" w:pos="1267"/>
          <w:tab w:val="clear" w:pos="1742"/>
          <w:tab w:val="clear" w:pos="2218"/>
          <w:tab w:val="left" w:pos="0"/>
          <w:tab w:val="left" w:pos="284"/>
        </w:tabs>
        <w:ind w:left="0" w:right="95"/>
      </w:pPr>
    </w:p>
    <w:p w:rsidR="005C50DA" w:rsidRDefault="005C50DA" w:rsidP="008861D6">
      <w:pPr>
        <w:pStyle w:val="SingleTxt"/>
        <w:tabs>
          <w:tab w:val="clear" w:pos="1267"/>
          <w:tab w:val="clear" w:pos="1742"/>
          <w:tab w:val="clear" w:pos="2218"/>
          <w:tab w:val="left" w:pos="0"/>
          <w:tab w:val="left" w:pos="284"/>
        </w:tabs>
        <w:ind w:left="0" w:right="95"/>
      </w:pPr>
    </w:p>
    <w:p w:rsidR="00B546FC" w:rsidRDefault="00BB0636" w:rsidP="00C43ED7">
      <w:pPr>
        <w:pStyle w:val="SingleTxt"/>
        <w:numPr>
          <w:ilvl w:val="0"/>
          <w:numId w:val="16"/>
        </w:numPr>
        <w:tabs>
          <w:tab w:val="clear" w:pos="1267"/>
          <w:tab w:val="clear" w:pos="1742"/>
          <w:tab w:val="clear" w:pos="2218"/>
          <w:tab w:val="left" w:pos="0"/>
          <w:tab w:val="left" w:pos="284"/>
        </w:tabs>
        <w:ind w:right="95"/>
      </w:pPr>
      <w:r>
        <w:t xml:space="preserve">In my country </w:t>
      </w:r>
      <w:r w:rsidR="00C43ED7">
        <w:t>involuntary admission</w:t>
      </w:r>
      <w:r w:rsidR="005C5AEF">
        <w:t xml:space="preserve"> are made under special circumstance</w:t>
      </w:r>
      <w:r w:rsidR="00C43ED7">
        <w:t xml:space="preserve">, </w:t>
      </w:r>
      <w:r>
        <w:t>infect in my country</w:t>
      </w:r>
      <w:r w:rsidR="00C43ED7">
        <w:t xml:space="preserve"> no facility available of</w:t>
      </w:r>
      <w:r>
        <w:t xml:space="preserve"> </w:t>
      </w:r>
      <w:r w:rsidR="00C43ED7" w:rsidRPr="00C43ED7">
        <w:t>local mental health community centre or local mental health centre</w:t>
      </w:r>
    </w:p>
    <w:p w:rsidR="005C5AEF" w:rsidRPr="005C5AEF" w:rsidRDefault="005C5AEF" w:rsidP="005C50DA">
      <w:pPr>
        <w:pStyle w:val="Default"/>
        <w:numPr>
          <w:ilvl w:val="0"/>
          <w:numId w:val="5"/>
        </w:numPr>
        <w:rPr>
          <w:rFonts w:ascii="Times New Roman" w:eastAsia="Times New Roman" w:hAnsi="Times New Roman" w:cs="Times New Roman"/>
          <w:b/>
          <w:bCs/>
          <w:color w:val="auto"/>
          <w:spacing w:val="4"/>
          <w:w w:val="103"/>
          <w:kern w:val="14"/>
          <w:sz w:val="22"/>
          <w:szCs w:val="22"/>
          <w:lang w:val="en-GB" w:bidi="ar-SA"/>
        </w:rPr>
      </w:pPr>
      <w:r w:rsidRPr="005C5AEF">
        <w:rPr>
          <w:rFonts w:ascii="Times New Roman" w:eastAsia="Times New Roman" w:hAnsi="Times New Roman" w:cs="Times New Roman"/>
          <w:b/>
          <w:bCs/>
          <w:color w:val="auto"/>
          <w:spacing w:val="4"/>
          <w:w w:val="103"/>
          <w:kern w:val="14"/>
          <w:sz w:val="22"/>
          <w:szCs w:val="22"/>
          <w:lang w:val="en-GB" w:bidi="ar-SA"/>
        </w:rPr>
        <w:t xml:space="preserve">Admission of mentally ill persons under certain special circumstances </w:t>
      </w:r>
    </w:p>
    <w:p w:rsidR="005C5AEF" w:rsidRDefault="005C5AEF" w:rsidP="005C5AEF">
      <w:pPr>
        <w:pStyle w:val="Default"/>
        <w:ind w:left="720"/>
        <w:rPr>
          <w:rFonts w:ascii="Times New Roman" w:eastAsia="Times New Roman" w:hAnsi="Times New Roman" w:cs="Times New Roman"/>
          <w:color w:val="auto"/>
          <w:spacing w:val="4"/>
          <w:w w:val="103"/>
          <w:kern w:val="14"/>
          <w:sz w:val="20"/>
          <w:szCs w:val="20"/>
          <w:lang w:val="en-GB" w:bidi="ar-SA"/>
        </w:rPr>
      </w:pPr>
      <w:r w:rsidRPr="005C5AEF">
        <w:rPr>
          <w:rFonts w:ascii="Times New Roman" w:eastAsia="Times New Roman" w:hAnsi="Times New Roman" w:cs="Times New Roman"/>
          <w:color w:val="auto"/>
          <w:spacing w:val="4"/>
          <w:w w:val="103"/>
          <w:kern w:val="14"/>
          <w:sz w:val="20"/>
          <w:szCs w:val="20"/>
          <w:lang w:val="en-GB" w:bidi="ar-SA"/>
        </w:rPr>
        <w:t>Any mentally ill persons who does not, or is unable to, express his willingness for admission as a voluntary patient, may be admitted and kept as an in-patient in a psychiatric nursing hospital or psychiatric nursing home on an application made in that behalf by a relative or a friend of the mentally ill persons if the medical officers-in-charge is satisfied that in the interest of the mentally ill pe</w:t>
      </w:r>
      <w:r w:rsidR="005C50DA">
        <w:rPr>
          <w:rFonts w:ascii="Times New Roman" w:eastAsia="Times New Roman" w:hAnsi="Times New Roman" w:cs="Times New Roman"/>
          <w:color w:val="auto"/>
          <w:spacing w:val="4"/>
          <w:w w:val="103"/>
          <w:kern w:val="14"/>
          <w:sz w:val="20"/>
          <w:szCs w:val="20"/>
          <w:lang w:val="en-GB" w:bidi="ar-SA"/>
        </w:rPr>
        <w:t>rsons it is necessary so to do.</w:t>
      </w:r>
    </w:p>
    <w:p w:rsidR="005C50DA" w:rsidRDefault="005C50DA" w:rsidP="005C5AEF">
      <w:pPr>
        <w:pStyle w:val="Default"/>
        <w:ind w:left="720"/>
        <w:rPr>
          <w:rFonts w:ascii="Times New Roman" w:eastAsia="Times New Roman" w:hAnsi="Times New Roman" w:cs="Times New Roman"/>
          <w:color w:val="auto"/>
          <w:spacing w:val="4"/>
          <w:w w:val="103"/>
          <w:kern w:val="14"/>
          <w:sz w:val="20"/>
          <w:szCs w:val="20"/>
          <w:lang w:val="en-GB" w:bidi="ar-SA"/>
        </w:rPr>
      </w:pPr>
    </w:p>
    <w:p w:rsidR="005C50DA" w:rsidRPr="005C50DA" w:rsidRDefault="005C50DA" w:rsidP="005C50DA">
      <w:pPr>
        <w:rPr>
          <w:rFonts w:ascii="Times New Roman" w:eastAsia="Times New Roman" w:hAnsi="Times New Roman" w:cs="Times New Roman"/>
          <w:spacing w:val="4"/>
          <w:w w:val="103"/>
          <w:kern w:val="14"/>
          <w:sz w:val="20"/>
          <w:szCs w:val="20"/>
          <w:lang w:val="en-GB" w:bidi="ar-SA"/>
        </w:rPr>
      </w:pPr>
      <w:r w:rsidRPr="005C50DA">
        <w:rPr>
          <w:rFonts w:ascii="Times New Roman" w:eastAsia="Times New Roman" w:hAnsi="Times New Roman" w:cs="Times New Roman"/>
          <w:spacing w:val="4"/>
          <w:w w:val="103"/>
          <w:kern w:val="14"/>
          <w:sz w:val="20"/>
          <w:szCs w:val="20"/>
          <w:lang w:val="en-GB" w:bidi="ar-SA"/>
        </w:rPr>
        <w:t>“Violation of their rights is a common reality for person with mental health problems. The design and implementation of policies, programmes and services for person with mental health problems should therefore, be based on a rights-based perspective. Respecting the rights of person with mental health problems will reduce stigmatization and discriminatory behaviours.”  -  (National Mental Health Policy of India,2014)</w:t>
      </w:r>
    </w:p>
    <w:p w:rsidR="005C50DA" w:rsidRPr="005C50DA" w:rsidRDefault="005C50DA" w:rsidP="005C50DA">
      <w:pPr>
        <w:rPr>
          <w:rFonts w:ascii="Times New Roman" w:eastAsia="Times New Roman" w:hAnsi="Times New Roman" w:cs="Times New Roman"/>
          <w:spacing w:val="4"/>
          <w:w w:val="103"/>
          <w:kern w:val="14"/>
          <w:sz w:val="20"/>
          <w:szCs w:val="20"/>
          <w:lang w:val="en-GB" w:bidi="ar-SA"/>
        </w:rPr>
      </w:pPr>
      <w:r w:rsidRPr="005C50DA">
        <w:rPr>
          <w:rFonts w:ascii="Times New Roman" w:eastAsia="Times New Roman" w:hAnsi="Times New Roman" w:cs="Times New Roman"/>
          <w:spacing w:val="4"/>
          <w:w w:val="103"/>
          <w:kern w:val="14"/>
          <w:sz w:val="20"/>
          <w:szCs w:val="20"/>
          <w:lang w:val="en-GB" w:bidi="ar-SA"/>
        </w:rPr>
        <w:t>“Evidence based intervention should inform decisions regarding provision of service. Decision making should be based on various evidences for instance: findings from research, practice based evidence and feedback from clients.” -  (National Mental Health Policy of India,2014)</w:t>
      </w:r>
    </w:p>
    <w:p w:rsidR="005C50DA" w:rsidRPr="005C50DA" w:rsidRDefault="005C50DA" w:rsidP="005C50DA">
      <w:pPr>
        <w:rPr>
          <w:rFonts w:ascii="Times New Roman" w:eastAsia="Times New Roman" w:hAnsi="Times New Roman" w:cs="Times New Roman"/>
          <w:spacing w:val="4"/>
          <w:w w:val="103"/>
          <w:kern w:val="14"/>
          <w:sz w:val="20"/>
          <w:szCs w:val="20"/>
          <w:lang w:val="en-GB" w:bidi="ar-SA"/>
        </w:rPr>
      </w:pPr>
      <w:r w:rsidRPr="005C50DA">
        <w:rPr>
          <w:rFonts w:ascii="Times New Roman" w:eastAsia="Times New Roman" w:hAnsi="Times New Roman" w:cs="Times New Roman"/>
          <w:spacing w:val="4"/>
          <w:w w:val="103"/>
          <w:kern w:val="14"/>
          <w:sz w:val="20"/>
          <w:szCs w:val="20"/>
          <w:lang w:val="en-GB" w:bidi="ar-SA"/>
        </w:rPr>
        <w:t>“Service user and caregiver should be involved in the planning, development, monitoring, and evaluation of mental health service. Human rights and dignity of person with mental health problems should be respected, protected and promoted. The rights of care giver and service provider should also be respected by ensuring good working condition, adequate training and support” -  (National Mental Health Policy of India,2014)</w:t>
      </w:r>
    </w:p>
    <w:p w:rsidR="005C50DA" w:rsidRDefault="005C50DA" w:rsidP="005C5AEF">
      <w:pPr>
        <w:rPr>
          <w:rFonts w:ascii="Times New Roman"/>
          <w:sz w:val="24"/>
          <w:szCs w:val="24"/>
        </w:rPr>
      </w:pPr>
    </w:p>
    <w:p w:rsidR="005C5AEF" w:rsidRPr="005C50DA" w:rsidRDefault="005C5AEF" w:rsidP="005C5AEF">
      <w:pPr>
        <w:rPr>
          <w:rFonts w:ascii="Times New Roman" w:eastAsia="Times New Roman" w:hAnsi="Times New Roman" w:cs="Times New Roman"/>
          <w:spacing w:val="4"/>
          <w:w w:val="103"/>
          <w:kern w:val="14"/>
          <w:sz w:val="20"/>
          <w:szCs w:val="20"/>
          <w:lang w:val="en-GB" w:bidi="ar-SA"/>
        </w:rPr>
      </w:pPr>
      <w:r w:rsidRPr="005C50DA">
        <w:rPr>
          <w:rFonts w:ascii="Times New Roman" w:eastAsia="Times New Roman" w:hAnsi="Times New Roman" w:cs="Times New Roman"/>
          <w:spacing w:val="4"/>
          <w:w w:val="103"/>
          <w:kern w:val="14"/>
          <w:sz w:val="20"/>
          <w:szCs w:val="20"/>
          <w:lang w:val="en-GB" w:bidi="ar-SA"/>
        </w:rPr>
        <w:t>The Up-coming Mental Health Care Bill, 2013 repeals the Mental Health Act, 1987.  </w:t>
      </w:r>
    </w:p>
    <w:p w:rsidR="005C5AEF" w:rsidRPr="005C50DA" w:rsidRDefault="005C5AEF" w:rsidP="005C5AEF">
      <w:pPr>
        <w:rPr>
          <w:rFonts w:ascii="Times New Roman" w:eastAsia="Times New Roman" w:hAnsi="Times New Roman" w:cs="Times New Roman"/>
          <w:spacing w:val="4"/>
          <w:w w:val="103"/>
          <w:kern w:val="14"/>
          <w:sz w:val="20"/>
          <w:szCs w:val="20"/>
          <w:lang w:val="en-GB" w:bidi="ar-SA"/>
        </w:rPr>
      </w:pPr>
      <w:r w:rsidRPr="005C50DA">
        <w:rPr>
          <w:rFonts w:ascii="Times New Roman" w:eastAsia="Times New Roman" w:hAnsi="Times New Roman" w:cs="Times New Roman"/>
          <w:spacing w:val="4"/>
          <w:w w:val="103"/>
          <w:kern w:val="14"/>
          <w:sz w:val="20"/>
          <w:szCs w:val="20"/>
          <w:lang w:val="en-GB" w:bidi="ar-SA"/>
        </w:rPr>
        <w:t>The Statements of Objects and Reasons to the Bill, state the government ratified the United Nations Convention on the Rights of Persons with Disabilities in 2007.  The Convention requires the laws of the country to align with the Convention. The new Bill was introduced as the existing Act does not adequately protect the rights of persons with mental illness nor promote their access to mental health care.  The key features regarding of the Bill are:</w:t>
      </w:r>
    </w:p>
    <w:p w:rsidR="005C5AEF" w:rsidRPr="005C50DA" w:rsidRDefault="005C5AEF" w:rsidP="005C5AEF">
      <w:pPr>
        <w:numPr>
          <w:ilvl w:val="0"/>
          <w:numId w:val="14"/>
        </w:numPr>
        <w:spacing w:before="100" w:beforeAutospacing="1" w:after="100" w:afterAutospacing="1" w:line="360" w:lineRule="atLeast"/>
        <w:rPr>
          <w:rFonts w:ascii="Times New Roman" w:eastAsia="Times New Roman" w:hAnsi="Times New Roman" w:cs="Times New Roman"/>
          <w:spacing w:val="4"/>
          <w:w w:val="103"/>
          <w:kern w:val="14"/>
          <w:sz w:val="20"/>
          <w:szCs w:val="20"/>
          <w:lang w:val="en-GB" w:bidi="ar-SA"/>
        </w:rPr>
      </w:pPr>
      <w:r w:rsidRPr="005C50DA">
        <w:rPr>
          <w:rFonts w:ascii="Times New Roman" w:eastAsia="Times New Roman" w:hAnsi="Times New Roman" w:cs="Times New Roman"/>
          <w:spacing w:val="4"/>
          <w:w w:val="103"/>
          <w:kern w:val="14"/>
          <w:sz w:val="20"/>
          <w:szCs w:val="20"/>
          <w:lang w:val="en-GB" w:bidi="ar-SA"/>
        </w:rPr>
        <w:t>The Bill also specifies the process and procedure to be followed for admission, treatment and discharge of mentally ill individuals.  A decision to be admitted in a mental health establishment shall, as far as possible, be made by the person with the mental illness except when he is unable to make an independent decision or conditions exist to make a supported admission unavoidable.</w:t>
      </w:r>
    </w:p>
    <w:p w:rsidR="005C5AEF" w:rsidRPr="005C50DA" w:rsidRDefault="005C5AEF" w:rsidP="005C5AEF">
      <w:pPr>
        <w:numPr>
          <w:ilvl w:val="0"/>
          <w:numId w:val="15"/>
        </w:numPr>
        <w:spacing w:before="100" w:beforeAutospacing="1" w:after="100" w:afterAutospacing="1" w:line="360" w:lineRule="atLeast"/>
        <w:rPr>
          <w:rFonts w:ascii="Times New Roman" w:eastAsia="Times New Roman" w:hAnsi="Times New Roman" w:cs="Times New Roman"/>
          <w:spacing w:val="4"/>
          <w:w w:val="103"/>
          <w:kern w:val="14"/>
          <w:sz w:val="20"/>
          <w:szCs w:val="20"/>
          <w:lang w:val="en-GB" w:bidi="ar-SA"/>
        </w:rPr>
      </w:pPr>
      <w:r w:rsidRPr="005C50DA">
        <w:rPr>
          <w:rFonts w:ascii="Times New Roman" w:eastAsia="Times New Roman" w:hAnsi="Times New Roman" w:cs="Times New Roman"/>
          <w:spacing w:val="4"/>
          <w:w w:val="103"/>
          <w:kern w:val="14"/>
          <w:sz w:val="20"/>
          <w:szCs w:val="20"/>
          <w:lang w:val="en-GB" w:bidi="ar-SA"/>
        </w:rPr>
        <w:t>Mental Health Review Commission and Board: The Mental Health Review Commission will be a quasi-judicial body that will periodically review the use of and the procedure for making advance directives and advise the government on protection of the rights of mentally ill persons.  The Commission shall with the concurrence of the state governments, constitute Mental Health Review Boards in the districts of a state.  The Board will have the power to (a) register, review/alter/cancel an advance directive, (b) appoint a nominated representative, (c) adjudicate complaints regarding deficiencies in care and services, (d) receive and decide application from a person with mental illness/his nominated representative/any other interested person against the decision of medical officer or psychiatrists in charge of a mental health establishment.</w:t>
      </w:r>
    </w:p>
    <w:p w:rsidR="005C5AEF" w:rsidRPr="005C50DA" w:rsidRDefault="005C5AEF" w:rsidP="005C5AEF">
      <w:pPr>
        <w:pStyle w:val="Default"/>
        <w:ind w:left="720"/>
        <w:rPr>
          <w:rFonts w:ascii="Times New Roman" w:eastAsia="Times New Roman" w:hAnsi="Times New Roman" w:cs="Times New Roman"/>
          <w:color w:val="auto"/>
          <w:spacing w:val="4"/>
          <w:w w:val="103"/>
          <w:kern w:val="14"/>
          <w:sz w:val="20"/>
          <w:szCs w:val="20"/>
          <w:lang w:val="en-GB" w:bidi="ar-SA"/>
        </w:rPr>
      </w:pPr>
    </w:p>
    <w:p w:rsidR="00A40B67" w:rsidRDefault="00A40B67" w:rsidP="00A40B67">
      <w:pPr>
        <w:pStyle w:val="SingleTxt"/>
        <w:tabs>
          <w:tab w:val="clear" w:pos="1267"/>
          <w:tab w:val="clear" w:pos="1742"/>
          <w:tab w:val="clear" w:pos="2218"/>
          <w:tab w:val="left" w:pos="0"/>
          <w:tab w:val="left" w:pos="284"/>
        </w:tabs>
        <w:ind w:right="95"/>
      </w:pPr>
    </w:p>
    <w:p w:rsidR="005F01F0" w:rsidRDefault="005F01F0" w:rsidP="00A40B67">
      <w:pPr>
        <w:pStyle w:val="SingleTxt"/>
        <w:tabs>
          <w:tab w:val="clear" w:pos="1267"/>
          <w:tab w:val="clear" w:pos="1742"/>
          <w:tab w:val="clear" w:pos="2218"/>
          <w:tab w:val="left" w:pos="0"/>
          <w:tab w:val="left" w:pos="284"/>
        </w:tabs>
        <w:ind w:right="95"/>
      </w:pPr>
    </w:p>
    <w:p w:rsidR="00BB0636" w:rsidRPr="005C50DA" w:rsidRDefault="00BB0636" w:rsidP="005C50DA">
      <w:pPr>
        <w:pStyle w:val="NormalWeb"/>
        <w:numPr>
          <w:ilvl w:val="0"/>
          <w:numId w:val="16"/>
        </w:numPr>
        <w:spacing w:after="0" w:afterAutospacing="0" w:line="288" w:lineRule="atLeast"/>
        <w:rPr>
          <w:b/>
          <w:bCs/>
          <w:spacing w:val="4"/>
          <w:w w:val="103"/>
          <w:kern w:val="14"/>
          <w:sz w:val="20"/>
          <w:szCs w:val="20"/>
          <w:lang w:val="en-GB" w:eastAsia="en-US" w:bidi="ar-SA"/>
        </w:rPr>
      </w:pPr>
      <w:r w:rsidRPr="005C50DA">
        <w:rPr>
          <w:b/>
          <w:bCs/>
          <w:spacing w:val="4"/>
          <w:w w:val="103"/>
          <w:kern w:val="14"/>
          <w:sz w:val="20"/>
          <w:szCs w:val="20"/>
          <w:lang w:val="en-GB" w:eastAsia="en-US" w:bidi="ar-SA"/>
        </w:rPr>
        <w:lastRenderedPageBreak/>
        <w:t>Suggest possible changes in legislation about involuntary admission and treatment in order to better implement human rights issues raising from this case.</w:t>
      </w:r>
    </w:p>
    <w:p w:rsidR="00A40B67" w:rsidRPr="00F91134" w:rsidRDefault="00A40B67" w:rsidP="005C50DA">
      <w:pPr>
        <w:pStyle w:val="SingleTxt"/>
        <w:tabs>
          <w:tab w:val="clear" w:pos="1267"/>
          <w:tab w:val="clear" w:pos="1742"/>
          <w:tab w:val="clear" w:pos="2218"/>
          <w:tab w:val="left" w:pos="0"/>
          <w:tab w:val="left" w:pos="284"/>
        </w:tabs>
        <w:ind w:left="0" w:right="95"/>
      </w:pPr>
    </w:p>
    <w:p w:rsidR="00A40B67" w:rsidRPr="00F91134" w:rsidRDefault="00A40B67" w:rsidP="00A40B67">
      <w:pPr>
        <w:pStyle w:val="SingleTxt"/>
        <w:numPr>
          <w:ilvl w:val="0"/>
          <w:numId w:val="7"/>
        </w:numPr>
        <w:tabs>
          <w:tab w:val="clear" w:pos="1267"/>
          <w:tab w:val="clear" w:pos="1742"/>
          <w:tab w:val="clear" w:pos="2218"/>
          <w:tab w:val="left" w:pos="0"/>
          <w:tab w:val="left" w:pos="284"/>
        </w:tabs>
        <w:ind w:right="95"/>
      </w:pPr>
      <w:r w:rsidRPr="00F91134">
        <w:t xml:space="preserve">The Special Rapporteur hails the entry into force of the Convention on the Rights of Persons with Disabilities, which reaffirms the absolute prohibition of torture and cruel, inhuman or degrading treatment or punishment, and which offers authoritative guidance in the interpretation of the rights and fundamental freedoms of persons with disabilities. </w:t>
      </w:r>
    </w:p>
    <w:p w:rsidR="00A40B67" w:rsidRDefault="00A40B67" w:rsidP="00A40B67">
      <w:pPr>
        <w:pStyle w:val="SingleTxt"/>
        <w:numPr>
          <w:ilvl w:val="0"/>
          <w:numId w:val="7"/>
        </w:numPr>
        <w:tabs>
          <w:tab w:val="clear" w:pos="1267"/>
          <w:tab w:val="clear" w:pos="1742"/>
          <w:tab w:val="clear" w:pos="2218"/>
          <w:tab w:val="left" w:pos="0"/>
          <w:tab w:val="left" w:pos="284"/>
        </w:tabs>
        <w:ind w:right="95"/>
      </w:pPr>
      <w:r w:rsidRPr="00F91134">
        <w:t>States parties to the Convention should ensure that it is published and widely disseminated and should develop awareness-raising for the public at large and training for all relevant professional groups (e.g. judges, lawyers, law enforcement officials, civil servants, local Government officials, personnel working in institutions and health personnel). Public officials and private actors alike have a role to play in protecting and preventing torture and ill-treatment of persons with disabilities</w:t>
      </w:r>
    </w:p>
    <w:p w:rsidR="00A40B67" w:rsidRPr="00F91134" w:rsidRDefault="00A40B67" w:rsidP="00A40B67">
      <w:pPr>
        <w:pStyle w:val="SingleTxt"/>
        <w:numPr>
          <w:ilvl w:val="0"/>
          <w:numId w:val="7"/>
        </w:numPr>
        <w:tabs>
          <w:tab w:val="clear" w:pos="1267"/>
          <w:tab w:val="clear" w:pos="1742"/>
          <w:tab w:val="clear" w:pos="2218"/>
          <w:tab w:val="left" w:pos="0"/>
          <w:tab w:val="left" w:pos="284"/>
        </w:tabs>
        <w:ind w:right="95"/>
      </w:pPr>
      <w:r w:rsidRPr="00F91134">
        <w:t xml:space="preserve">In keeping with </w:t>
      </w:r>
      <w:r w:rsidRPr="005C50DA">
        <w:t>the Convention, States must adopt legislation that recognizes the legal capacity of persons with disabilities and must ensure that, where required, they are provided with the support needed to make informed decisions.</w:t>
      </w:r>
      <w:r w:rsidRPr="00F91134">
        <w:t xml:space="preserve"> </w:t>
      </w:r>
    </w:p>
    <w:p w:rsidR="00A40B67" w:rsidRPr="00F91134" w:rsidRDefault="00A40B67" w:rsidP="00A40B67">
      <w:pPr>
        <w:pStyle w:val="SingleTxt"/>
        <w:numPr>
          <w:ilvl w:val="0"/>
          <w:numId w:val="7"/>
        </w:numPr>
        <w:tabs>
          <w:tab w:val="clear" w:pos="1267"/>
          <w:tab w:val="clear" w:pos="1742"/>
          <w:tab w:val="clear" w:pos="2218"/>
          <w:tab w:val="left" w:pos="0"/>
          <w:tab w:val="left" w:pos="284"/>
        </w:tabs>
        <w:ind w:right="95"/>
      </w:pPr>
      <w:r w:rsidRPr="00F91134">
        <w:t>States should issue clear and unambiguous guidelines in line with the Convention on what is meant by “free and informed consent”, and make available accessible complaints procedures.</w:t>
      </w:r>
    </w:p>
    <w:p w:rsidR="005C50DA" w:rsidRDefault="00A40B67" w:rsidP="005C50DA">
      <w:pPr>
        <w:pStyle w:val="SingleTxt"/>
        <w:numPr>
          <w:ilvl w:val="0"/>
          <w:numId w:val="7"/>
        </w:numPr>
        <w:tabs>
          <w:tab w:val="clear" w:pos="1267"/>
          <w:tab w:val="clear" w:pos="1742"/>
          <w:tab w:val="clear" w:pos="2218"/>
          <w:tab w:val="left" w:pos="0"/>
          <w:tab w:val="left" w:pos="284"/>
        </w:tabs>
        <w:ind w:right="95"/>
      </w:pPr>
      <w:r w:rsidRPr="00F91134">
        <w:t>Independent human rights monitors (</w:t>
      </w:r>
      <w:r w:rsidR="005C50DA" w:rsidRPr="005C50DA">
        <w:t>Mental Health Review Commission and Board: The Mental Health Review Commission will be a quasi-judicial body that will periodically review the use of and the procedure for making advance directives and advise the government on protection of the rights of mentally ill persons. </w:t>
      </w:r>
    </w:p>
    <w:p w:rsidR="005C50DA" w:rsidRDefault="005C50DA" w:rsidP="005C50DA">
      <w:pPr>
        <w:pStyle w:val="SingleTxt"/>
        <w:numPr>
          <w:ilvl w:val="0"/>
          <w:numId w:val="16"/>
        </w:numPr>
        <w:tabs>
          <w:tab w:val="clear" w:pos="1267"/>
          <w:tab w:val="clear" w:pos="1742"/>
          <w:tab w:val="clear" w:pos="2218"/>
          <w:tab w:val="left" w:pos="0"/>
          <w:tab w:val="left" w:pos="284"/>
        </w:tabs>
        <w:ind w:right="95"/>
      </w:pPr>
      <w:r w:rsidRPr="005C50DA">
        <w:t>Admission, treatment and discharge of mentally ill individuals.  A decision to be admitted in a mental health establishment shall, as far as possible, be made by the person with the mental illness except when he is unable to make an independent decision or conditions exist to make a supported admission unavoidable.</w:t>
      </w:r>
    </w:p>
    <w:p w:rsidR="00A40B67" w:rsidRDefault="00A40B67" w:rsidP="00A40B67">
      <w:pPr>
        <w:pStyle w:val="SingleTxt"/>
        <w:tabs>
          <w:tab w:val="clear" w:pos="1267"/>
          <w:tab w:val="clear" w:pos="1742"/>
          <w:tab w:val="clear" w:pos="2218"/>
          <w:tab w:val="left" w:pos="0"/>
          <w:tab w:val="left" w:pos="284"/>
        </w:tabs>
        <w:ind w:right="95"/>
      </w:pPr>
    </w:p>
    <w:p w:rsidR="008861D6" w:rsidRDefault="008861D6" w:rsidP="008861D6"/>
    <w:sectPr w:rsidR="008861D6" w:rsidSect="00371BDA">
      <w:pgSz w:w="11906" w:h="16838"/>
      <w:pgMar w:top="1276" w:right="127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0DE" w:rsidRDefault="007910DE" w:rsidP="00D3759B">
      <w:pPr>
        <w:spacing w:after="0" w:line="240" w:lineRule="auto"/>
      </w:pPr>
      <w:r>
        <w:separator/>
      </w:r>
    </w:p>
  </w:endnote>
  <w:endnote w:type="continuationSeparator" w:id="0">
    <w:p w:rsidR="007910DE" w:rsidRDefault="007910DE" w:rsidP="00D3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0DE" w:rsidRDefault="007910DE" w:rsidP="00D3759B">
      <w:pPr>
        <w:spacing w:after="0" w:line="240" w:lineRule="auto"/>
      </w:pPr>
      <w:r>
        <w:separator/>
      </w:r>
    </w:p>
  </w:footnote>
  <w:footnote w:type="continuationSeparator" w:id="0">
    <w:p w:rsidR="007910DE" w:rsidRDefault="007910DE" w:rsidP="00D375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20937"/>
    <w:multiLevelType w:val="multilevel"/>
    <w:tmpl w:val="5238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15E6C"/>
    <w:multiLevelType w:val="multilevel"/>
    <w:tmpl w:val="2E8A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F77BC"/>
    <w:multiLevelType w:val="multilevel"/>
    <w:tmpl w:val="9370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5B3392"/>
    <w:multiLevelType w:val="multilevel"/>
    <w:tmpl w:val="71B227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8412E7"/>
    <w:multiLevelType w:val="hybridMultilevel"/>
    <w:tmpl w:val="A1DAABEA"/>
    <w:lvl w:ilvl="0" w:tplc="6E32D63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DAD7D66"/>
    <w:multiLevelType w:val="hybridMultilevel"/>
    <w:tmpl w:val="EDFA0E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0A313AC"/>
    <w:multiLevelType w:val="multilevel"/>
    <w:tmpl w:val="C608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F73B83"/>
    <w:multiLevelType w:val="hybridMultilevel"/>
    <w:tmpl w:val="2D70AE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C1C2C73"/>
    <w:multiLevelType w:val="hybridMultilevel"/>
    <w:tmpl w:val="B232CBE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1EA6B15"/>
    <w:multiLevelType w:val="hybridMultilevel"/>
    <w:tmpl w:val="BD6A29C8"/>
    <w:lvl w:ilvl="0" w:tplc="40090001">
      <w:start w:val="1"/>
      <w:numFmt w:val="bullet"/>
      <w:lvlText w:val=""/>
      <w:lvlJc w:val="left"/>
      <w:pPr>
        <w:ind w:left="772" w:hanging="360"/>
      </w:pPr>
      <w:rPr>
        <w:rFonts w:ascii="Symbol" w:hAnsi="Symbol" w:hint="default"/>
      </w:rPr>
    </w:lvl>
    <w:lvl w:ilvl="1" w:tplc="40090003" w:tentative="1">
      <w:start w:val="1"/>
      <w:numFmt w:val="bullet"/>
      <w:lvlText w:val="o"/>
      <w:lvlJc w:val="left"/>
      <w:pPr>
        <w:ind w:left="1492" w:hanging="360"/>
      </w:pPr>
      <w:rPr>
        <w:rFonts w:ascii="Courier New" w:hAnsi="Courier New" w:cs="Courier New" w:hint="default"/>
      </w:rPr>
    </w:lvl>
    <w:lvl w:ilvl="2" w:tplc="40090005" w:tentative="1">
      <w:start w:val="1"/>
      <w:numFmt w:val="bullet"/>
      <w:lvlText w:val=""/>
      <w:lvlJc w:val="left"/>
      <w:pPr>
        <w:ind w:left="2212" w:hanging="360"/>
      </w:pPr>
      <w:rPr>
        <w:rFonts w:ascii="Wingdings" w:hAnsi="Wingdings" w:hint="default"/>
      </w:rPr>
    </w:lvl>
    <w:lvl w:ilvl="3" w:tplc="40090001" w:tentative="1">
      <w:start w:val="1"/>
      <w:numFmt w:val="bullet"/>
      <w:lvlText w:val=""/>
      <w:lvlJc w:val="left"/>
      <w:pPr>
        <w:ind w:left="2932" w:hanging="360"/>
      </w:pPr>
      <w:rPr>
        <w:rFonts w:ascii="Symbol" w:hAnsi="Symbol" w:hint="default"/>
      </w:rPr>
    </w:lvl>
    <w:lvl w:ilvl="4" w:tplc="40090003" w:tentative="1">
      <w:start w:val="1"/>
      <w:numFmt w:val="bullet"/>
      <w:lvlText w:val="o"/>
      <w:lvlJc w:val="left"/>
      <w:pPr>
        <w:ind w:left="3652" w:hanging="360"/>
      </w:pPr>
      <w:rPr>
        <w:rFonts w:ascii="Courier New" w:hAnsi="Courier New" w:cs="Courier New" w:hint="default"/>
      </w:rPr>
    </w:lvl>
    <w:lvl w:ilvl="5" w:tplc="40090005" w:tentative="1">
      <w:start w:val="1"/>
      <w:numFmt w:val="bullet"/>
      <w:lvlText w:val=""/>
      <w:lvlJc w:val="left"/>
      <w:pPr>
        <w:ind w:left="4372" w:hanging="360"/>
      </w:pPr>
      <w:rPr>
        <w:rFonts w:ascii="Wingdings" w:hAnsi="Wingdings" w:hint="default"/>
      </w:rPr>
    </w:lvl>
    <w:lvl w:ilvl="6" w:tplc="40090001" w:tentative="1">
      <w:start w:val="1"/>
      <w:numFmt w:val="bullet"/>
      <w:lvlText w:val=""/>
      <w:lvlJc w:val="left"/>
      <w:pPr>
        <w:ind w:left="5092" w:hanging="360"/>
      </w:pPr>
      <w:rPr>
        <w:rFonts w:ascii="Symbol" w:hAnsi="Symbol" w:hint="default"/>
      </w:rPr>
    </w:lvl>
    <w:lvl w:ilvl="7" w:tplc="40090003" w:tentative="1">
      <w:start w:val="1"/>
      <w:numFmt w:val="bullet"/>
      <w:lvlText w:val="o"/>
      <w:lvlJc w:val="left"/>
      <w:pPr>
        <w:ind w:left="5812" w:hanging="360"/>
      </w:pPr>
      <w:rPr>
        <w:rFonts w:ascii="Courier New" w:hAnsi="Courier New" w:cs="Courier New" w:hint="default"/>
      </w:rPr>
    </w:lvl>
    <w:lvl w:ilvl="8" w:tplc="40090005" w:tentative="1">
      <w:start w:val="1"/>
      <w:numFmt w:val="bullet"/>
      <w:lvlText w:val=""/>
      <w:lvlJc w:val="left"/>
      <w:pPr>
        <w:ind w:left="6532" w:hanging="360"/>
      </w:pPr>
      <w:rPr>
        <w:rFonts w:ascii="Wingdings" w:hAnsi="Wingdings" w:hint="default"/>
      </w:rPr>
    </w:lvl>
  </w:abstractNum>
  <w:abstractNum w:abstractNumId="10">
    <w:nsid w:val="438A5134"/>
    <w:multiLevelType w:val="multilevel"/>
    <w:tmpl w:val="D7F8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6763EB"/>
    <w:multiLevelType w:val="hybridMultilevel"/>
    <w:tmpl w:val="DDE8CE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A196018"/>
    <w:multiLevelType w:val="hybridMultilevel"/>
    <w:tmpl w:val="7AA2FB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D2D0574"/>
    <w:multiLevelType w:val="hybridMultilevel"/>
    <w:tmpl w:val="C76C2626"/>
    <w:lvl w:ilvl="0" w:tplc="BB787F50">
      <w:start w:val="18"/>
      <w:numFmt w:val="bullet"/>
      <w:lvlText w:val="-"/>
      <w:lvlJc w:val="left"/>
      <w:pPr>
        <w:ind w:left="720" w:hanging="360"/>
      </w:pPr>
      <w:rPr>
        <w:rFonts w:ascii="Times-Bold" w:eastAsia="Times New Roman" w:hAnsi="Times-Bold" w:cs="Times-Bold"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6107FD"/>
    <w:multiLevelType w:val="hybridMultilevel"/>
    <w:tmpl w:val="30C8C7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7F91008"/>
    <w:multiLevelType w:val="hybridMultilevel"/>
    <w:tmpl w:val="563A8A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
  </w:num>
  <w:num w:numId="4">
    <w:abstractNumId w:val="5"/>
  </w:num>
  <w:num w:numId="5">
    <w:abstractNumId w:val="15"/>
  </w:num>
  <w:num w:numId="6">
    <w:abstractNumId w:val="11"/>
  </w:num>
  <w:num w:numId="7">
    <w:abstractNumId w:val="14"/>
  </w:num>
  <w:num w:numId="8">
    <w:abstractNumId w:val="7"/>
  </w:num>
  <w:num w:numId="9">
    <w:abstractNumId w:val="13"/>
  </w:num>
  <w:num w:numId="10">
    <w:abstractNumId w:val="2"/>
  </w:num>
  <w:num w:numId="11">
    <w:abstractNumId w:val="10"/>
  </w:num>
  <w:num w:numId="12">
    <w:abstractNumId w:val="1"/>
  </w:num>
  <w:num w:numId="13">
    <w:abstractNumId w:val="0"/>
  </w:num>
  <w:num w:numId="14">
    <w:abstractNumId w:val="3"/>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C81"/>
    <w:rsid w:val="000E1E7C"/>
    <w:rsid w:val="001E0317"/>
    <w:rsid w:val="002E2C9E"/>
    <w:rsid w:val="00371BDA"/>
    <w:rsid w:val="005C50DA"/>
    <w:rsid w:val="005C5AEF"/>
    <w:rsid w:val="005F01F0"/>
    <w:rsid w:val="0065381C"/>
    <w:rsid w:val="007910DE"/>
    <w:rsid w:val="008861D6"/>
    <w:rsid w:val="00886CC6"/>
    <w:rsid w:val="00922C81"/>
    <w:rsid w:val="00953A30"/>
    <w:rsid w:val="00A40B67"/>
    <w:rsid w:val="00A47D19"/>
    <w:rsid w:val="00AA6F25"/>
    <w:rsid w:val="00B546FC"/>
    <w:rsid w:val="00BB0636"/>
    <w:rsid w:val="00BE1E42"/>
    <w:rsid w:val="00C43ED7"/>
    <w:rsid w:val="00D3759B"/>
    <w:rsid w:val="00E54042"/>
    <w:rsid w:val="00E90E26"/>
    <w:rsid w:val="00E971DA"/>
    <w:rsid w:val="00EC030A"/>
    <w:rsid w:val="00EE69B0"/>
    <w:rsid w:val="00F9113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DDB12-04EA-4271-86AF-D2E901EF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
    <w:name w:val="__Single Txt"/>
    <w:basedOn w:val="Normal"/>
    <w:rsid w:val="008861D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lang w:val="en-GB" w:bidi="ar-SA"/>
    </w:rPr>
  </w:style>
  <w:style w:type="character" w:styleId="FootnoteReference">
    <w:name w:val="footnote reference"/>
    <w:basedOn w:val="DefaultParagraphFont"/>
    <w:semiHidden/>
    <w:rsid w:val="008861D6"/>
    <w:rPr>
      <w:spacing w:val="-5"/>
      <w:w w:val="130"/>
      <w:position w:val="-4"/>
      <w:vertAlign w:val="superscript"/>
    </w:rPr>
  </w:style>
  <w:style w:type="paragraph" w:customStyle="1" w:styleId="H1">
    <w:name w:val="_ H_1"/>
    <w:basedOn w:val="Normal"/>
    <w:next w:val="SingleTxt"/>
    <w:rsid w:val="008861D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eastAsia="Times New Roman" w:hAnsi="Times New Roman" w:cs="Times New Roman"/>
      <w:b/>
      <w:spacing w:val="4"/>
      <w:w w:val="103"/>
      <w:kern w:val="14"/>
      <w:sz w:val="24"/>
      <w:szCs w:val="20"/>
      <w:lang w:val="en-GB" w:bidi="ar-SA"/>
    </w:rPr>
  </w:style>
  <w:style w:type="paragraph" w:styleId="ListParagraph">
    <w:name w:val="List Paragraph"/>
    <w:basedOn w:val="Normal"/>
    <w:uiPriority w:val="34"/>
    <w:qFormat/>
    <w:rsid w:val="00EE69B0"/>
    <w:pPr>
      <w:ind w:left="720"/>
      <w:contextualSpacing/>
    </w:pPr>
  </w:style>
  <w:style w:type="paragraph" w:styleId="NormalWeb">
    <w:name w:val="Normal (Web)"/>
    <w:basedOn w:val="Normal"/>
    <w:uiPriority w:val="99"/>
    <w:unhideWhenUsed/>
    <w:rsid w:val="00BB063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5C5AEF"/>
    <w:pPr>
      <w:autoSpaceDE w:val="0"/>
      <w:autoSpaceDN w:val="0"/>
      <w:adjustRightInd w:val="0"/>
      <w:spacing w:after="0" w:line="240" w:lineRule="auto"/>
    </w:pPr>
    <w:rPr>
      <w:rFonts w:ascii="Verdana" w:hAnsi="Verdana" w:cs="Verdana"/>
      <w:color w:val="000000"/>
      <w:sz w:val="24"/>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193</cp:revision>
  <dcterms:created xsi:type="dcterms:W3CDTF">2015-03-31T10:33:00Z</dcterms:created>
  <dcterms:modified xsi:type="dcterms:W3CDTF">2015-03-31T17:38:00Z</dcterms:modified>
</cp:coreProperties>
</file>