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06" w:rsidRPr="00D125CE" w:rsidRDefault="00D125CE" w:rsidP="00D125CE">
      <w:pPr>
        <w:pStyle w:val="NormalWeb"/>
        <w:spacing w:after="0" w:afterAutospacing="0" w:line="360" w:lineRule="auto"/>
        <w:jc w:val="center"/>
        <w:rPr>
          <w:color w:val="000000" w:themeColor="text1"/>
          <w:sz w:val="28"/>
          <w:lang w:val="en-GB"/>
        </w:rPr>
      </w:pPr>
      <w:r w:rsidRPr="00D125CE">
        <w:rPr>
          <w:color w:val="000000" w:themeColor="text1"/>
          <w:sz w:val="28"/>
          <w:lang w:val="en-GB"/>
        </w:rPr>
        <w:t>ASSIGNMENT</w:t>
      </w:r>
      <w:r>
        <w:rPr>
          <w:color w:val="000000" w:themeColor="text1"/>
          <w:sz w:val="28"/>
          <w:lang w:val="en-GB"/>
        </w:rPr>
        <w:t>: Module 6</w:t>
      </w:r>
    </w:p>
    <w:p w:rsidR="00FA1B06" w:rsidRPr="00D125CE" w:rsidRDefault="00FA1B06" w:rsidP="00D125CE">
      <w:pPr>
        <w:pStyle w:val="NormalWeb"/>
        <w:numPr>
          <w:ilvl w:val="0"/>
          <w:numId w:val="1"/>
        </w:numPr>
        <w:spacing w:after="0" w:afterAutospacing="0" w:line="360" w:lineRule="auto"/>
        <w:rPr>
          <w:b/>
          <w:color w:val="000000" w:themeColor="text1"/>
          <w:lang w:val="en-GB"/>
        </w:rPr>
      </w:pPr>
      <w:r w:rsidRPr="00D125CE">
        <w:rPr>
          <w:b/>
          <w:color w:val="000000" w:themeColor="text1"/>
          <w:lang w:val="en-GB"/>
        </w:rPr>
        <w:t>Discuss the case of Mrs. A in relation with UN standards on human rights (especially the CRPD) and of the 2008 Interim Report of the Special Rapporteur on Torture.</w:t>
      </w:r>
    </w:p>
    <w:p w:rsidR="00CC3CF5" w:rsidRPr="00D125CE" w:rsidRDefault="004651A5" w:rsidP="00D125CE">
      <w:pPr>
        <w:pStyle w:val="NormalWeb"/>
        <w:spacing w:after="0" w:afterAutospacing="0" w:line="360" w:lineRule="auto"/>
        <w:ind w:left="720"/>
        <w:rPr>
          <w:color w:val="000000" w:themeColor="text1"/>
        </w:rPr>
      </w:pPr>
      <w:r w:rsidRPr="00D125CE">
        <w:rPr>
          <w:color w:val="000000" w:themeColor="text1"/>
          <w:lang w:val="en-GB"/>
        </w:rPr>
        <w:t xml:space="preserve">The case of Mrs.A discussed is not uncommon in most of the countries. It is certain that her rights are infringed </w:t>
      </w:r>
      <w:r w:rsidR="00CC3CF5" w:rsidRPr="00D125CE">
        <w:rPr>
          <w:color w:val="000000" w:themeColor="text1"/>
          <w:lang w:val="en-GB"/>
        </w:rPr>
        <w:t xml:space="preserve">upon </w:t>
      </w:r>
      <w:r w:rsidR="00CC3CF5" w:rsidRPr="00D125CE">
        <w:rPr>
          <w:color w:val="000000" w:themeColor="text1"/>
        </w:rPr>
        <w:t xml:space="preserve">and </w:t>
      </w:r>
      <w:r w:rsidR="00CC3CF5" w:rsidRPr="00D125CE">
        <w:rPr>
          <w:color w:val="000000" w:themeColor="text1"/>
        </w:rPr>
        <w:t>no alternatives to treatment were provided to the service user or the family member.</w:t>
      </w:r>
      <w:r w:rsidR="00CC3CF5" w:rsidRPr="00D125CE">
        <w:rPr>
          <w:color w:val="000000" w:themeColor="text1"/>
        </w:rPr>
        <w:t xml:space="preserve"> Her case has been discussed below in bullets as follows:</w:t>
      </w:r>
    </w:p>
    <w:p w:rsidR="004651A5" w:rsidRPr="00D125CE" w:rsidRDefault="00C52D20" w:rsidP="00D125C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</w:rPr>
      </w:pPr>
      <w:r w:rsidRPr="00D125CE">
        <w:rPr>
          <w:color w:val="000000" w:themeColor="text1"/>
        </w:rPr>
        <w:t xml:space="preserve">Involuntary/ forced admission: </w:t>
      </w:r>
      <w:r w:rsidR="00D80757" w:rsidRPr="00D125CE">
        <w:rPr>
          <w:color w:val="000000" w:themeColor="text1"/>
        </w:rPr>
        <w:t xml:space="preserve">In the case of Mrs. A, </w:t>
      </w:r>
      <w:r w:rsidR="00D80757" w:rsidRPr="00D125CE">
        <w:rPr>
          <w:color w:val="000000" w:themeColor="text1"/>
          <w:lang w:val="en-GB"/>
        </w:rPr>
        <w:t>considering that she refused</w:t>
      </w:r>
      <w:r w:rsidR="00D80757" w:rsidRPr="00D125CE">
        <w:rPr>
          <w:color w:val="000000" w:themeColor="text1"/>
          <w:lang w:val="en-GB"/>
        </w:rPr>
        <w:t xml:space="preserve"> medicat</w:t>
      </w:r>
      <w:r w:rsidR="00D80757" w:rsidRPr="00D125CE">
        <w:rPr>
          <w:color w:val="000000" w:themeColor="text1"/>
          <w:lang w:val="en-GB"/>
        </w:rPr>
        <w:t xml:space="preserve">ion and voluntary admission it was </w:t>
      </w:r>
      <w:r w:rsidR="00D80757" w:rsidRPr="00D125CE">
        <w:rPr>
          <w:color w:val="000000" w:themeColor="text1"/>
          <w:lang w:val="en-GB"/>
        </w:rPr>
        <w:t xml:space="preserve">decided to admit her involuntarily to a psychiatric ward by the local general hospital for treating her manic episode. </w:t>
      </w:r>
      <w:r w:rsidR="00D80757" w:rsidRPr="00D125CE">
        <w:rPr>
          <w:color w:val="000000" w:themeColor="text1"/>
          <w:lang w:val="en-GB"/>
        </w:rPr>
        <w:t xml:space="preserve">This infringes upon her right to make a choice discussed in article </w:t>
      </w:r>
      <w:r w:rsidR="00D80757" w:rsidRPr="00D125CE">
        <w:t xml:space="preserve">3 of the </w:t>
      </w:r>
      <w:r w:rsidR="00D80757" w:rsidRPr="00D125CE">
        <w:t xml:space="preserve">CRPD, which </w:t>
      </w:r>
      <w:r w:rsidR="00D80757" w:rsidRPr="00D125CE">
        <w:t>proclaims the principle of respect for the individual autonomy of persons with disabilities and the freedom to make their own choices.</w:t>
      </w:r>
    </w:p>
    <w:p w:rsidR="00C52D20" w:rsidRPr="00D125CE" w:rsidRDefault="00D80757" w:rsidP="00D125CE">
      <w:pPr>
        <w:pStyle w:val="NormalWeb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D125CE">
        <w:t>V</w:t>
      </w:r>
      <w:r w:rsidR="00C52D20" w:rsidRPr="00D125CE">
        <w:t>iolation of personal integrity and dignity by giving the total control of the situation to another person</w:t>
      </w:r>
      <w:r w:rsidRPr="00D125CE">
        <w:t xml:space="preserve"> was</w:t>
      </w:r>
      <w:r w:rsidR="004651A5" w:rsidRPr="00D125CE">
        <w:t xml:space="preserve"> observed in the case of Mrs. A. </w:t>
      </w:r>
      <w:r w:rsidR="00C52D20" w:rsidRPr="00D125CE">
        <w:rPr>
          <w:color w:val="000000" w:themeColor="text1"/>
        </w:rPr>
        <w:t xml:space="preserve"> </w:t>
      </w:r>
      <w:r w:rsidR="004651A5" w:rsidRPr="00D125CE">
        <w:t xml:space="preserve">Article 12 of the ICESCR </w:t>
      </w:r>
      <w:r w:rsidR="004651A5" w:rsidRPr="00D125CE">
        <w:t xml:space="preserve">and </w:t>
      </w:r>
      <w:r w:rsidRPr="00D125CE">
        <w:rPr>
          <w:color w:val="000000" w:themeColor="text1"/>
        </w:rPr>
        <w:t>Article 25 of the CRPD prohibits d</w:t>
      </w:r>
      <w:r w:rsidR="00C52D20" w:rsidRPr="00D125CE">
        <w:rPr>
          <w:color w:val="000000" w:themeColor="text1"/>
        </w:rPr>
        <w:t>iscriminat</w:t>
      </w:r>
      <w:r w:rsidRPr="00D125CE">
        <w:rPr>
          <w:color w:val="000000" w:themeColor="text1"/>
        </w:rPr>
        <w:t>ion on the basis of disability</w:t>
      </w:r>
      <w:r w:rsidR="0011083D" w:rsidRPr="00D125CE">
        <w:rPr>
          <w:color w:val="000000" w:themeColor="text1"/>
        </w:rPr>
        <w:t xml:space="preserve"> and </w:t>
      </w:r>
      <w:r w:rsidR="0011083D" w:rsidRPr="00D125CE">
        <w:t>recognizes that medical care of persons with disabilities must be based on their free and informed consent.</w:t>
      </w:r>
    </w:p>
    <w:p w:rsidR="004651A5" w:rsidRPr="00D125CE" w:rsidRDefault="00615409" w:rsidP="00D125C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</w:rPr>
      </w:pPr>
      <w:r w:rsidRPr="00D125CE">
        <w:rPr>
          <w:color w:val="000000" w:themeColor="text1"/>
        </w:rPr>
        <w:t>D</w:t>
      </w:r>
      <w:r w:rsidR="00C52D20" w:rsidRPr="00D125CE">
        <w:rPr>
          <w:color w:val="000000" w:themeColor="text1"/>
        </w:rPr>
        <w:t xml:space="preserve">ecision making: </w:t>
      </w:r>
      <w:r w:rsidRPr="00D125CE">
        <w:rPr>
          <w:color w:val="000000" w:themeColor="text1"/>
        </w:rPr>
        <w:t>In the case of Mrs. A, the h</w:t>
      </w:r>
      <w:r w:rsidR="00C52D20" w:rsidRPr="00D125CE">
        <w:rPr>
          <w:color w:val="000000" w:themeColor="text1"/>
        </w:rPr>
        <w:t xml:space="preserve">usband and children </w:t>
      </w:r>
      <w:r w:rsidRPr="00D125CE">
        <w:rPr>
          <w:color w:val="000000" w:themeColor="text1"/>
        </w:rPr>
        <w:t xml:space="preserve">were </w:t>
      </w:r>
      <w:r w:rsidR="00C52D20" w:rsidRPr="00D125CE">
        <w:rPr>
          <w:color w:val="000000" w:themeColor="text1"/>
        </w:rPr>
        <w:t xml:space="preserve">ambivalent, </w:t>
      </w:r>
      <w:r w:rsidRPr="00D125CE">
        <w:rPr>
          <w:color w:val="000000" w:themeColor="text1"/>
        </w:rPr>
        <w:t xml:space="preserve">the process </w:t>
      </w:r>
      <w:r w:rsidR="00743542" w:rsidRPr="00D125CE">
        <w:rPr>
          <w:color w:val="000000" w:themeColor="text1"/>
        </w:rPr>
        <w:t xml:space="preserve">not </w:t>
      </w:r>
      <w:r w:rsidRPr="00D125CE">
        <w:rPr>
          <w:color w:val="000000" w:themeColor="text1"/>
        </w:rPr>
        <w:t xml:space="preserve">being of supportive decision making or substitute decision making.  Decision for admission was taken by a third party which clearly violates Mrs. A’s right to informed consent. </w:t>
      </w:r>
      <w:r w:rsidR="0011083D" w:rsidRPr="00D125CE">
        <w:t xml:space="preserve">Article 12 of the CRPD </w:t>
      </w:r>
      <w:r w:rsidR="004651A5" w:rsidRPr="00D125CE">
        <w:t>recognizes the</w:t>
      </w:r>
      <w:r w:rsidR="0011083D" w:rsidRPr="00D125CE">
        <w:t xml:space="preserve"> equal right to enjoy legal capacity in all areas of life, suc</w:t>
      </w:r>
      <w:r w:rsidR="004651A5" w:rsidRPr="00D125CE">
        <w:t xml:space="preserve">h as deciding </w:t>
      </w:r>
      <w:r w:rsidR="0011083D" w:rsidRPr="00D125CE">
        <w:t>whether to accept medical treatment</w:t>
      </w:r>
      <w:r w:rsidR="004651A5" w:rsidRPr="00D125CE">
        <w:t xml:space="preserve"> or not.</w:t>
      </w:r>
    </w:p>
    <w:p w:rsidR="0085119D" w:rsidRPr="00D125CE" w:rsidRDefault="004651A5" w:rsidP="00D125CE">
      <w:pPr>
        <w:pStyle w:val="NormalWeb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D125CE">
        <w:t xml:space="preserve">The </w:t>
      </w:r>
      <w:r w:rsidR="00615409" w:rsidRPr="00D125CE">
        <w:t xml:space="preserve">UN Convention Against Torture, </w:t>
      </w:r>
      <w:r w:rsidRPr="00D125CE">
        <w:t>as di</w:t>
      </w:r>
      <w:r w:rsidR="00D125CE">
        <w:t>s</w:t>
      </w:r>
      <w:r w:rsidRPr="00D125CE">
        <w:t xml:space="preserve">cussed by </w:t>
      </w:r>
      <w:r w:rsidR="00615409" w:rsidRPr="00D125CE">
        <w:t xml:space="preserve">Minkowitz, T. (2006) </w:t>
      </w:r>
      <w:r w:rsidR="0085119D" w:rsidRPr="00D125CE">
        <w:t xml:space="preserve"> recognises that all of us, at some times in our lives, need h</w:t>
      </w:r>
      <w:r w:rsidR="00615409" w:rsidRPr="00D125CE">
        <w:t>elp to make important decisions and t</w:t>
      </w:r>
      <w:r w:rsidR="0085119D" w:rsidRPr="00D125CE">
        <w:t>hat should not become an opportunity for someone else to make decisions for us, but rather for us to be s</w:t>
      </w:r>
      <w:r w:rsidR="00615409" w:rsidRPr="00D125CE">
        <w:t>upported in our decision</w:t>
      </w:r>
      <w:r w:rsidR="00CC3CF5" w:rsidRPr="00D125CE">
        <w:t xml:space="preserve"> </w:t>
      </w:r>
      <w:r w:rsidR="00615409" w:rsidRPr="00D125CE">
        <w:t xml:space="preserve">making.. </w:t>
      </w:r>
      <w:r w:rsidR="0085119D" w:rsidRPr="00D125CE">
        <w:t>She describes a supported decision-making model and discusses legal capacity in that context.</w:t>
      </w:r>
    </w:p>
    <w:p w:rsidR="00C52D20" w:rsidRPr="00D125CE" w:rsidRDefault="00C52D20" w:rsidP="00D125CE">
      <w:pPr>
        <w:pStyle w:val="NormalWeb"/>
        <w:numPr>
          <w:ilvl w:val="0"/>
          <w:numId w:val="2"/>
        </w:numPr>
        <w:spacing w:after="0" w:afterAutospacing="0" w:line="360" w:lineRule="auto"/>
      </w:pPr>
      <w:r w:rsidRPr="00D125CE">
        <w:rPr>
          <w:color w:val="000000" w:themeColor="text1"/>
        </w:rPr>
        <w:lastRenderedPageBreak/>
        <w:t xml:space="preserve">High Dosage of benzodiazepine: </w:t>
      </w:r>
      <w:r w:rsidR="008B40B3" w:rsidRPr="00D125CE">
        <w:rPr>
          <w:color w:val="000000" w:themeColor="text1"/>
        </w:rPr>
        <w:t>T</w:t>
      </w:r>
      <w:r w:rsidR="008B40B3" w:rsidRPr="00D125CE">
        <w:rPr>
          <w:color w:val="000000" w:themeColor="text1"/>
          <w:lang w:val="en-GB"/>
        </w:rPr>
        <w:t>he 2008 Interim Report of the Special Ra</w:t>
      </w:r>
      <w:r w:rsidR="004651A5" w:rsidRPr="00D125CE">
        <w:rPr>
          <w:color w:val="000000" w:themeColor="text1"/>
          <w:lang w:val="en-GB"/>
        </w:rPr>
        <w:t xml:space="preserve">pporteur with regard to </w:t>
      </w:r>
      <w:r w:rsidR="004651A5" w:rsidRPr="00D125CE">
        <w:rPr>
          <w:color w:val="000000" w:themeColor="text1"/>
        </w:rPr>
        <w:t>compulsory</w:t>
      </w:r>
      <w:r w:rsidR="008B40B3" w:rsidRPr="00D125CE">
        <w:rPr>
          <w:color w:val="000000" w:themeColor="text1"/>
        </w:rPr>
        <w:t xml:space="preserve"> treatment states that the </w:t>
      </w:r>
      <w:r w:rsidRPr="00D125CE">
        <w:t>psychiatric experiments and forced injecti</w:t>
      </w:r>
      <w:r w:rsidR="008B40B3" w:rsidRPr="00D125CE">
        <w:t>on of tranquillizers against the service user’s will shall</w:t>
      </w:r>
      <w:r w:rsidRPr="00D125CE">
        <w:t xml:space="preserve"> constituted </w:t>
      </w:r>
      <w:r w:rsidR="008B40B3" w:rsidRPr="00D125CE">
        <w:t xml:space="preserve">as </w:t>
      </w:r>
      <w:r w:rsidRPr="00D125CE">
        <w:t>inhuman treatment.</w:t>
      </w:r>
    </w:p>
    <w:p w:rsidR="008B40B3" w:rsidRPr="00D125CE" w:rsidRDefault="004651A5" w:rsidP="00D125CE">
      <w:pPr>
        <w:pStyle w:val="NormalWeb"/>
        <w:numPr>
          <w:ilvl w:val="0"/>
          <w:numId w:val="2"/>
        </w:numPr>
        <w:spacing w:after="0" w:afterAutospacing="0" w:line="360" w:lineRule="auto"/>
        <w:rPr>
          <w:color w:val="000000" w:themeColor="text1"/>
          <w:lang w:val="en-GB"/>
        </w:rPr>
      </w:pPr>
      <w:r w:rsidRPr="00D125CE">
        <w:rPr>
          <w:color w:val="000000" w:themeColor="text1"/>
        </w:rPr>
        <w:t>Restraint:</w:t>
      </w:r>
      <w:r w:rsidR="00C52D20" w:rsidRPr="00D125CE">
        <w:t xml:space="preserve"> </w:t>
      </w:r>
      <w:r w:rsidRPr="00D125CE">
        <w:t>In the case of Mrs. A, t</w:t>
      </w:r>
      <w:r w:rsidRPr="00D125CE">
        <w:rPr>
          <w:color w:val="000000" w:themeColor="text1"/>
          <w:lang w:val="en-GB"/>
        </w:rPr>
        <w:t xml:space="preserve">he coroner later reports thrombo-embolism of central pulmonary artery due to immobilization. </w:t>
      </w:r>
      <w:r w:rsidRPr="00D125CE">
        <w:rPr>
          <w:color w:val="000000" w:themeColor="text1"/>
        </w:rPr>
        <w:t>T</w:t>
      </w:r>
      <w:r w:rsidRPr="00D125CE">
        <w:rPr>
          <w:color w:val="000000" w:themeColor="text1"/>
          <w:lang w:val="en-GB"/>
        </w:rPr>
        <w:t xml:space="preserve">he 2008 Interim Report of the Special Rapporteur on Torture states that </w:t>
      </w:r>
      <w:r w:rsidRPr="00D125CE">
        <w:t xml:space="preserve">there can be no therapeutic justification for the prolonged use of restraints, which may amount to torture or ill-treatment. </w:t>
      </w:r>
      <w:r w:rsidRPr="00D125CE">
        <w:rPr>
          <w:color w:val="000000" w:themeColor="text1"/>
          <w:lang w:val="en-GB"/>
        </w:rPr>
        <w:t xml:space="preserve">ICCPR </w:t>
      </w:r>
      <w:r w:rsidRPr="00D125CE">
        <w:rPr>
          <w:color w:val="000000" w:themeColor="text1"/>
          <w:lang w:val="en-GB"/>
        </w:rPr>
        <w:t xml:space="preserve">and </w:t>
      </w:r>
      <w:r w:rsidR="00D80757" w:rsidRPr="00D125CE">
        <w:t xml:space="preserve">article 15 of the that Convention, persons with disabilities have the right not to be subjected to torture or to cruel, inhuman, or degrading treatment or punishment. </w:t>
      </w:r>
      <w:r w:rsidR="008B40B3" w:rsidRPr="00D125CE">
        <w:t>Article 16 of the CRPD extends the traditional right to freedom from torture or cruel, inhuman or degrading treatment to freedom from all forms of exploitation, violence and abuse.</w:t>
      </w:r>
    </w:p>
    <w:p w:rsidR="008B40B3" w:rsidRPr="00D125CE" w:rsidRDefault="008B40B3" w:rsidP="00D125CE">
      <w:pPr>
        <w:pStyle w:val="NormalWeb"/>
        <w:spacing w:after="0" w:afterAutospacing="0" w:line="360" w:lineRule="auto"/>
        <w:ind w:left="720"/>
        <w:rPr>
          <w:b/>
          <w:color w:val="000000" w:themeColor="text1"/>
        </w:rPr>
      </w:pPr>
    </w:p>
    <w:p w:rsidR="00FA1B06" w:rsidRPr="00D125CE" w:rsidRDefault="00FA1B06" w:rsidP="00D125CE">
      <w:pPr>
        <w:pStyle w:val="NormalWeb"/>
        <w:spacing w:after="0" w:afterAutospacing="0" w:line="360" w:lineRule="auto"/>
        <w:rPr>
          <w:b/>
          <w:color w:val="000000" w:themeColor="text1"/>
          <w:lang w:val="en-GB"/>
        </w:rPr>
      </w:pPr>
      <w:r w:rsidRPr="00D125CE">
        <w:rPr>
          <w:b/>
          <w:color w:val="000000" w:themeColor="text1"/>
          <w:lang w:val="en-GB"/>
        </w:rPr>
        <w:t xml:space="preserve">2- </w:t>
      </w:r>
      <w:r w:rsidR="004651A5" w:rsidRPr="00D125CE">
        <w:rPr>
          <w:b/>
          <w:color w:val="000000" w:themeColor="text1"/>
          <w:lang w:val="en-GB"/>
        </w:rPr>
        <w:t>Analyse</w:t>
      </w:r>
      <w:r w:rsidRPr="00D125CE">
        <w:rPr>
          <w:b/>
          <w:color w:val="000000" w:themeColor="text1"/>
          <w:lang w:val="en-GB"/>
        </w:rPr>
        <w:t xml:space="preserve"> how this case would be managed in your country.</w:t>
      </w:r>
    </w:p>
    <w:p w:rsidR="005C4592" w:rsidRPr="00D125CE" w:rsidRDefault="005C4592" w:rsidP="00D125CE">
      <w:pPr>
        <w:pStyle w:val="Heading"/>
        <w:spacing w:line="360" w:lineRule="auto"/>
        <w:ind w:left="720" w:right="144"/>
        <w:jc w:val="both"/>
        <w:rPr>
          <w:sz w:val="24"/>
          <w:szCs w:val="24"/>
        </w:rPr>
      </w:pPr>
    </w:p>
    <w:p w:rsidR="00BA34B1" w:rsidRPr="00D125CE" w:rsidRDefault="005C4592" w:rsidP="00D125CE">
      <w:pPr>
        <w:pStyle w:val="Heading"/>
        <w:spacing w:line="360" w:lineRule="auto"/>
        <w:ind w:right="144"/>
        <w:jc w:val="both"/>
        <w:rPr>
          <w:sz w:val="24"/>
          <w:szCs w:val="24"/>
        </w:rPr>
      </w:pPr>
      <w:r w:rsidRPr="00D125CE">
        <w:rPr>
          <w:sz w:val="24"/>
          <w:szCs w:val="24"/>
        </w:rPr>
        <w:t>In India, disability rehabilitation is primarily considered to be a responsibility of the family. Large and extended Indian families provided essential physical, emotional and economic support to its members with disabilities. (Vanessa Singh and Anita Ghai (2009).</w:t>
      </w:r>
      <w:r w:rsidRPr="00D125CE">
        <w:rPr>
          <w:sz w:val="24"/>
          <w:szCs w:val="24"/>
        </w:rPr>
        <w:t xml:space="preserve"> </w:t>
      </w:r>
    </w:p>
    <w:p w:rsidR="005C4592" w:rsidRPr="00D125CE" w:rsidRDefault="005C4592" w:rsidP="00D125CE">
      <w:pPr>
        <w:pStyle w:val="Heading"/>
        <w:spacing w:line="360" w:lineRule="auto"/>
        <w:ind w:right="144"/>
        <w:jc w:val="both"/>
        <w:rPr>
          <w:sz w:val="24"/>
          <w:szCs w:val="24"/>
        </w:rPr>
      </w:pPr>
      <w:r w:rsidRPr="00D125CE">
        <w:rPr>
          <w:sz w:val="24"/>
          <w:szCs w:val="24"/>
        </w:rPr>
        <w:t>In India, service users with mental disability will be usually accompanied by their care-givers while visiting the OPD. It would be seen that generally in India that service users visiting alone are not permitted to see the psychiatrist, unless accompanied by a care-giver.  So in the case of Mrs.</w:t>
      </w:r>
      <w:r w:rsidR="00D125CE">
        <w:rPr>
          <w:sz w:val="24"/>
          <w:szCs w:val="24"/>
        </w:rPr>
        <w:t xml:space="preserve"> </w:t>
      </w:r>
      <w:r w:rsidRPr="00D125CE">
        <w:rPr>
          <w:sz w:val="24"/>
          <w:szCs w:val="24"/>
        </w:rPr>
        <w:t xml:space="preserve">A, it would be safe to say that she would be usually accompanied by a care-giver and the consent of the care-giver would be taken. </w:t>
      </w:r>
    </w:p>
    <w:p w:rsidR="005C4592" w:rsidRPr="00D125CE" w:rsidRDefault="005C4592" w:rsidP="00D125CE">
      <w:pPr>
        <w:pStyle w:val="NormalWeb"/>
        <w:spacing w:after="0" w:afterAutospacing="0" w:line="360" w:lineRule="auto"/>
        <w:rPr>
          <w:rFonts w:eastAsia="SimSun"/>
          <w:lang w:val="en-US" w:eastAsia="zh-CN"/>
        </w:rPr>
      </w:pPr>
      <w:r w:rsidRPr="00D125CE">
        <w:t xml:space="preserve">In the Indian Context, </w:t>
      </w:r>
      <w:r w:rsidRPr="00D125CE">
        <w:t xml:space="preserve">community </w:t>
      </w:r>
      <w:r w:rsidR="002F2C1D" w:rsidRPr="00D125CE">
        <w:t xml:space="preserve">based </w:t>
      </w:r>
      <w:r w:rsidRPr="00D125CE">
        <w:t>rehabilitation is hardly an option and hence Mrs</w:t>
      </w:r>
      <w:r w:rsidR="00D125CE">
        <w:t xml:space="preserve">. </w:t>
      </w:r>
      <w:r w:rsidRPr="00D125CE">
        <w:t xml:space="preserve">A would be admitted to the hospital under observation with the consent of her care-giver. </w:t>
      </w:r>
      <w:r w:rsidR="006B455C" w:rsidRPr="00D125CE">
        <w:t>Mrs. A or her care-giver are unlikely to be</w:t>
      </w:r>
      <w:r w:rsidR="006B455C" w:rsidRPr="00D125CE">
        <w:rPr>
          <w:rFonts w:eastAsia="SimSun"/>
          <w:lang w:val="en-US" w:eastAsia="zh-CN"/>
        </w:rPr>
        <w:t xml:space="preserve"> informed about treatment options that are </w:t>
      </w:r>
      <w:r w:rsidR="00C52D20" w:rsidRPr="00D125CE">
        <w:rPr>
          <w:rFonts w:eastAsia="SimSun"/>
          <w:lang w:val="en-US" w:eastAsia="zh-CN"/>
        </w:rPr>
        <w:t xml:space="preserve">available, </w:t>
      </w:r>
      <w:r w:rsidR="006B455C" w:rsidRPr="00D125CE">
        <w:rPr>
          <w:rFonts w:eastAsia="SimSun"/>
          <w:lang w:val="en-US" w:eastAsia="zh-CN"/>
        </w:rPr>
        <w:t>possible alternatives to or could complement medication, such as psychotherapy.</w:t>
      </w:r>
      <w:r w:rsidR="006B455C" w:rsidRPr="00D125CE">
        <w:rPr>
          <w:rFonts w:eastAsia="SimSun"/>
          <w:lang w:val="en-US" w:eastAsia="zh-CN"/>
        </w:rPr>
        <w:t xml:space="preserve"> </w:t>
      </w:r>
      <w:r w:rsidR="004F648D" w:rsidRPr="00D125CE">
        <w:rPr>
          <w:rFonts w:eastAsia="SimSun"/>
          <w:lang w:val="en-US" w:eastAsia="zh-CN"/>
        </w:rPr>
        <w:t>Mrs. A’s preferences will not be given a priority for the</w:t>
      </w:r>
      <w:r w:rsidR="004F648D" w:rsidRPr="00D125CE">
        <w:rPr>
          <w:rFonts w:eastAsia="SimSun"/>
          <w:lang w:val="en-US" w:eastAsia="zh-CN"/>
        </w:rPr>
        <w:t xml:space="preserve"> decisions related</w:t>
      </w:r>
      <w:r w:rsidR="004F648D" w:rsidRPr="00D125CE">
        <w:rPr>
          <w:rFonts w:eastAsia="SimSun"/>
          <w:lang w:val="en-US" w:eastAsia="zh-CN"/>
        </w:rPr>
        <w:t xml:space="preserve"> treatment, she may not even be asked for her priority to continue medication or treatment. </w:t>
      </w:r>
      <w:r w:rsidR="00247A5D" w:rsidRPr="00D125CE">
        <w:rPr>
          <w:rFonts w:eastAsia="SimSun"/>
          <w:lang w:val="en-US" w:eastAsia="zh-CN"/>
        </w:rPr>
        <w:t>The care-g</w:t>
      </w:r>
      <w:r w:rsidR="00E24C44" w:rsidRPr="00D125CE">
        <w:rPr>
          <w:rFonts w:eastAsia="SimSun"/>
          <w:lang w:val="en-US" w:eastAsia="zh-CN"/>
        </w:rPr>
        <w:t>iver will have to be present with</w:t>
      </w:r>
      <w:r w:rsidR="00247A5D" w:rsidRPr="00D125CE">
        <w:rPr>
          <w:rFonts w:eastAsia="SimSun"/>
          <w:lang w:val="en-US" w:eastAsia="zh-CN"/>
        </w:rPr>
        <w:t xml:space="preserve"> Mrs.</w:t>
      </w:r>
      <w:r w:rsidR="002F2C1D" w:rsidRPr="00D125CE">
        <w:rPr>
          <w:rFonts w:eastAsia="SimSun"/>
          <w:lang w:val="en-US" w:eastAsia="zh-CN"/>
        </w:rPr>
        <w:t xml:space="preserve"> </w:t>
      </w:r>
      <w:r w:rsidR="00247A5D" w:rsidRPr="00D125CE">
        <w:rPr>
          <w:rFonts w:eastAsia="SimSun"/>
          <w:lang w:val="en-US" w:eastAsia="zh-CN"/>
        </w:rPr>
        <w:t xml:space="preserve">A at all times of the day, while under observation and the care-giver’s </w:t>
      </w:r>
      <w:r w:rsidR="00247A5D" w:rsidRPr="00D125CE">
        <w:rPr>
          <w:rFonts w:eastAsia="SimSun"/>
          <w:lang w:val="en-US" w:eastAsia="zh-CN"/>
        </w:rPr>
        <w:lastRenderedPageBreak/>
        <w:t>consent will be taken for treatment related decisions, that of restraint or seclusion which is generally maintained in individual</w:t>
      </w:r>
      <w:r w:rsidR="002F2C1D" w:rsidRPr="00D125CE">
        <w:rPr>
          <w:rFonts w:eastAsia="SimSun"/>
          <w:lang w:val="en-US" w:eastAsia="zh-CN"/>
        </w:rPr>
        <w:t xml:space="preserve"> files, substitute decision making being the pre-dominant model. </w:t>
      </w:r>
      <w:r w:rsidR="00033030" w:rsidRPr="00D125CE">
        <w:rPr>
          <w:rFonts w:eastAsia="SimSun"/>
          <w:lang w:val="en-US" w:eastAsia="zh-CN"/>
        </w:rPr>
        <w:t xml:space="preserve">Few hospitals have policies with regard to restraint and seclusion which are being followed but in hospitals which do not have policies in place, the decision rests with the psychiatrists. </w:t>
      </w:r>
      <w:r w:rsidR="002F2C1D" w:rsidRPr="00D125CE">
        <w:rPr>
          <w:rFonts w:eastAsia="SimSun"/>
          <w:lang w:val="en-US" w:eastAsia="zh-CN"/>
        </w:rPr>
        <w:t>No clear information about assessment, diagnosis, t</w:t>
      </w:r>
      <w:r w:rsidR="00EA1458" w:rsidRPr="00D125CE">
        <w:rPr>
          <w:rFonts w:eastAsia="SimSun"/>
          <w:lang w:val="en-US" w:eastAsia="zh-CN"/>
        </w:rPr>
        <w:t>reatment or recovery options will be given to Mrs.</w:t>
      </w:r>
      <w:r w:rsidR="00D125CE">
        <w:rPr>
          <w:rFonts w:eastAsia="SimSun"/>
          <w:lang w:val="en-US" w:eastAsia="zh-CN"/>
        </w:rPr>
        <w:t xml:space="preserve"> </w:t>
      </w:r>
      <w:r w:rsidR="00EA1458" w:rsidRPr="00D125CE">
        <w:rPr>
          <w:rFonts w:eastAsia="SimSun"/>
          <w:lang w:val="en-US" w:eastAsia="zh-CN"/>
        </w:rPr>
        <w:t>A or her care-giver</w:t>
      </w:r>
      <w:r w:rsidR="002F2C1D" w:rsidRPr="00D125CE">
        <w:rPr>
          <w:rFonts w:eastAsia="SimSun"/>
          <w:lang w:val="en-US" w:eastAsia="zh-CN"/>
        </w:rPr>
        <w:t xml:space="preserve">. </w:t>
      </w:r>
    </w:p>
    <w:p w:rsidR="00E24C44" w:rsidRPr="00D125CE" w:rsidRDefault="00E24C44" w:rsidP="00D125CE">
      <w:pPr>
        <w:pStyle w:val="NormalWeb"/>
        <w:spacing w:after="0" w:afterAutospacing="0" w:line="360" w:lineRule="auto"/>
        <w:rPr>
          <w:rFonts w:eastAsia="SimSun"/>
          <w:lang w:val="en-US" w:eastAsia="zh-CN"/>
        </w:rPr>
      </w:pPr>
      <w:r w:rsidRPr="00D125CE">
        <w:rPr>
          <w:rFonts w:eastAsia="SimSun"/>
          <w:lang w:val="en-US" w:eastAsia="zh-CN"/>
        </w:rPr>
        <w:t>Mrs. A may or may not be discharged after a week, seeing her progress and her stay might extent to 15 to 20 days in the general ward with the care-giver. If Mrs. A or her care-giver wants discharge before completion of the treatment, they may be permitted so under DAMA</w:t>
      </w:r>
      <w:r w:rsidR="00B752AC" w:rsidRPr="00D125CE">
        <w:rPr>
          <w:rFonts w:eastAsia="SimSun"/>
          <w:lang w:val="en-US" w:eastAsia="zh-CN"/>
        </w:rPr>
        <w:t xml:space="preserve"> </w:t>
      </w:r>
      <w:r w:rsidRPr="00D125CE">
        <w:rPr>
          <w:rFonts w:eastAsia="SimSun"/>
          <w:lang w:val="en-US" w:eastAsia="zh-CN"/>
        </w:rPr>
        <w:t>(Discharge against medical advice).</w:t>
      </w:r>
    </w:p>
    <w:p w:rsidR="00B752AC" w:rsidRPr="00D125CE" w:rsidRDefault="00B752AC" w:rsidP="00D125C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125CE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No </w:t>
      </w:r>
      <w:r w:rsidRPr="00D125CE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efforts </w:t>
      </w:r>
      <w:r w:rsidRPr="00D125CE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are usually </w:t>
      </w:r>
      <w:r w:rsidRPr="00D125CE">
        <w:rPr>
          <w:rFonts w:ascii="Times New Roman" w:eastAsia="SimSun" w:hAnsi="Times New Roman" w:cs="Times New Roman"/>
          <w:sz w:val="24"/>
          <w:szCs w:val="24"/>
          <w:lang w:val="en-GB" w:eastAsia="zh-CN"/>
        </w:rPr>
        <w:t>made by the facility to provide information and education regarding psycho-social rehabilitation.</w:t>
      </w:r>
      <w:r w:rsidRPr="00D125CE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 </w:t>
      </w:r>
      <w:r w:rsidRPr="00D125CE">
        <w:rPr>
          <w:rFonts w:ascii="Times New Roman" w:hAnsi="Times New Roman" w:cs="Times New Roman"/>
          <w:bCs/>
          <w:iCs/>
          <w:sz w:val="24"/>
          <w:szCs w:val="24"/>
        </w:rPr>
        <w:t>There is an absence o</w:t>
      </w:r>
      <w:r w:rsidRPr="00D125CE">
        <w:rPr>
          <w:rFonts w:ascii="Times New Roman" w:hAnsi="Times New Roman" w:cs="Times New Roman"/>
          <w:bCs/>
          <w:iCs/>
          <w:sz w:val="24"/>
          <w:szCs w:val="24"/>
        </w:rPr>
        <w:t xml:space="preserve">f recovery plans </w:t>
      </w:r>
      <w:r w:rsidRPr="00D125CE">
        <w:rPr>
          <w:rFonts w:ascii="Times New Roman" w:hAnsi="Times New Roman" w:cs="Times New Roman"/>
          <w:bCs/>
          <w:iCs/>
          <w:sz w:val="24"/>
          <w:szCs w:val="24"/>
        </w:rPr>
        <w:t>which may hinder the provision of quality care and speedy recovery of users with mental illness.</w:t>
      </w:r>
    </w:p>
    <w:p w:rsidR="00B752AC" w:rsidRPr="00D125CE" w:rsidRDefault="00B752AC" w:rsidP="00D125CE">
      <w:pPr>
        <w:pStyle w:val="NormalWeb"/>
        <w:spacing w:after="0" w:afterAutospacing="0" w:line="360" w:lineRule="auto"/>
      </w:pPr>
    </w:p>
    <w:p w:rsidR="00FA1B06" w:rsidRPr="00D125CE" w:rsidRDefault="00FA1B06" w:rsidP="00D125CE">
      <w:pPr>
        <w:pStyle w:val="NormalWeb"/>
        <w:spacing w:after="0" w:afterAutospacing="0" w:line="360" w:lineRule="auto"/>
        <w:rPr>
          <w:b/>
          <w:color w:val="000000" w:themeColor="text1"/>
        </w:rPr>
      </w:pPr>
      <w:r w:rsidRPr="00D125CE">
        <w:rPr>
          <w:b/>
          <w:color w:val="000000" w:themeColor="text1"/>
          <w:lang w:val="en-GB"/>
        </w:rPr>
        <w:t>3- Suggest possible changes in your country legislation about involuntary admission and treatment in order to better implement human rights issues raising from this case.</w:t>
      </w:r>
    </w:p>
    <w:p w:rsidR="00C52D20" w:rsidRPr="00D125CE" w:rsidRDefault="006161E0" w:rsidP="00D125CE">
      <w:pPr>
        <w:pStyle w:val="NormalWeb"/>
        <w:spacing w:after="0" w:afterAutospacing="0" w:line="360" w:lineRule="auto"/>
      </w:pPr>
      <w:r w:rsidRPr="00D125CE">
        <w:t>Supported</w:t>
      </w:r>
      <w:r w:rsidR="00C52D20" w:rsidRPr="00D125CE">
        <w:t xml:space="preserve"> decision making</w:t>
      </w:r>
    </w:p>
    <w:p w:rsidR="00DC297F" w:rsidRPr="00D125CE" w:rsidRDefault="00D90536" w:rsidP="00D125CE">
      <w:pPr>
        <w:pStyle w:val="NormalWeb"/>
        <w:spacing w:after="0" w:afterAutospacing="0" w:line="360" w:lineRule="auto"/>
      </w:pPr>
      <w:r w:rsidRPr="00D125CE">
        <w:t>Develop relevant policies, programmes, laws and regulations within all relevant sectors in line with the Mental Health policy with associated implementation and monitoring mechanisms.</w:t>
      </w:r>
    </w:p>
    <w:p w:rsidR="00C52D20" w:rsidRPr="00D125CE" w:rsidRDefault="00DC297F" w:rsidP="00D125CE">
      <w:pPr>
        <w:pStyle w:val="NormalWeb"/>
        <w:spacing w:after="0" w:afterAutospacing="0" w:line="360" w:lineRule="auto"/>
      </w:pPr>
      <w:r w:rsidRPr="00D125CE">
        <w:t xml:space="preserve">Institutional care: </w:t>
      </w:r>
      <w:bookmarkStart w:id="0" w:name="_GoBack"/>
      <w:bookmarkEnd w:id="0"/>
      <w:r w:rsidRPr="00D125CE">
        <w:t xml:space="preserve">All the in-patient facilities can be linked to community care to support service users. </w:t>
      </w:r>
    </w:p>
    <w:p w:rsidR="00D90536" w:rsidRPr="00D125CE" w:rsidRDefault="00D90536" w:rsidP="00D125CE">
      <w:pPr>
        <w:pStyle w:val="NormalWeb"/>
        <w:spacing w:after="0" w:afterAutospacing="0" w:line="360" w:lineRule="auto"/>
      </w:pPr>
      <w:r w:rsidRPr="00D125CE">
        <w:t xml:space="preserve">Improve availability of </w:t>
      </w:r>
      <w:r w:rsidR="00D125CE" w:rsidRPr="00D125CE">
        <w:t>adequately</w:t>
      </w:r>
      <w:r w:rsidRPr="00D125CE">
        <w:t xml:space="preserve"> trained mental health human resources to address the mental health needs of the community</w:t>
      </w:r>
    </w:p>
    <w:p w:rsidR="00D90536" w:rsidRPr="00D125CE" w:rsidRDefault="00D90536" w:rsidP="00D125CE">
      <w:pPr>
        <w:pStyle w:val="NormalWeb"/>
        <w:spacing w:after="0" w:afterAutospacing="0" w:line="360" w:lineRule="auto"/>
      </w:pPr>
      <w:r w:rsidRPr="00D125CE">
        <w:t>Rights based approach</w:t>
      </w:r>
      <w:r w:rsidR="00D125CE" w:rsidRPr="00D125CE">
        <w:t xml:space="preserve">: </w:t>
      </w:r>
      <w:r w:rsidR="00D125CE" w:rsidRPr="00D125CE">
        <w:t xml:space="preserve">In India, the PWD act does not have a clear articulation of equality. By not having a clear articulation of </w:t>
      </w:r>
      <w:r w:rsidR="00D125CE" w:rsidRPr="00D125CE">
        <w:t>equality</w:t>
      </w:r>
      <w:r w:rsidR="00D125CE" w:rsidRPr="00D125CE">
        <w:t>, even the courts, while deciding claims under the PWD act, are not really informed by a rights perspective.</w:t>
      </w:r>
    </w:p>
    <w:p w:rsidR="006161E0" w:rsidRPr="00D125CE" w:rsidRDefault="00D125CE" w:rsidP="00D125CE">
      <w:pPr>
        <w:pStyle w:val="NormalWeb"/>
        <w:spacing w:after="0" w:afterAutospacing="0" w:line="360" w:lineRule="auto"/>
      </w:pPr>
      <w:r>
        <w:lastRenderedPageBreak/>
        <w:t xml:space="preserve">Free and </w:t>
      </w:r>
      <w:r w:rsidR="006161E0" w:rsidRPr="00D125CE">
        <w:t>Informed consent</w:t>
      </w:r>
    </w:p>
    <w:p w:rsidR="006161E0" w:rsidRPr="00D125CE" w:rsidRDefault="006161E0" w:rsidP="00D125CE">
      <w:pPr>
        <w:pStyle w:val="NormalWeb"/>
        <w:spacing w:after="0" w:afterAutospacing="0" w:line="360" w:lineRule="auto"/>
      </w:pPr>
      <w:r w:rsidRPr="00D125CE">
        <w:rPr>
          <w:rFonts w:eastAsia="SimSun"/>
          <w:lang w:val="en-US" w:eastAsia="zh-CN"/>
        </w:rPr>
        <w:t>C</w:t>
      </w:r>
      <w:r w:rsidRPr="00D125CE">
        <w:rPr>
          <w:rFonts w:eastAsia="SimSun"/>
          <w:lang w:val="en-US" w:eastAsia="zh-CN"/>
        </w:rPr>
        <w:t>lear information about assessment, diagnosis, treatment or recovery options</w:t>
      </w:r>
      <w:r w:rsidRPr="00D125CE">
        <w:rPr>
          <w:rFonts w:eastAsia="SimSun"/>
          <w:lang w:val="en-US" w:eastAsia="zh-CN"/>
        </w:rPr>
        <w:t xml:space="preserve"> to be given</w:t>
      </w:r>
    </w:p>
    <w:p w:rsidR="006161E0" w:rsidRPr="00D125CE" w:rsidRDefault="006161E0" w:rsidP="00D125CE">
      <w:pPr>
        <w:pStyle w:val="NormalWeb"/>
        <w:spacing w:after="0" w:afterAutospacing="0" w:line="360" w:lineRule="auto"/>
      </w:pPr>
      <w:r w:rsidRPr="00D125CE">
        <w:t xml:space="preserve">Confidentiality of Information </w:t>
      </w:r>
    </w:p>
    <w:p w:rsidR="006161E0" w:rsidRPr="00D125CE" w:rsidRDefault="006161E0" w:rsidP="00D125CE">
      <w:pPr>
        <w:pStyle w:val="NormalWeb"/>
        <w:spacing w:after="0" w:afterAutospacing="0" w:line="360" w:lineRule="auto"/>
      </w:pPr>
      <w:r w:rsidRPr="00D125CE">
        <w:t>Home-visits and case-management</w:t>
      </w:r>
    </w:p>
    <w:p w:rsidR="00D125CE" w:rsidRPr="00D125CE" w:rsidRDefault="00D125CE" w:rsidP="00D125CE">
      <w:pPr>
        <w:pStyle w:val="NormalWeb"/>
        <w:spacing w:after="0" w:afterAutospacing="0" w:line="360" w:lineRule="auto"/>
      </w:pPr>
      <w:r w:rsidRPr="00D125CE">
        <w:rPr>
          <w:rFonts w:eastAsia="SimSun"/>
          <w:lang w:val="en-US" w:eastAsia="zh-CN"/>
        </w:rPr>
        <w:t>T</w:t>
      </w:r>
      <w:r w:rsidRPr="00D125CE">
        <w:rPr>
          <w:rFonts w:eastAsia="SimSun"/>
          <w:lang w:val="en-US" w:eastAsia="zh-CN"/>
        </w:rPr>
        <w:t>reatment options that are available, possible alternatives to or could complement me</w:t>
      </w:r>
      <w:r w:rsidRPr="00D125CE">
        <w:rPr>
          <w:rFonts w:eastAsia="SimSun"/>
          <w:lang w:val="en-US" w:eastAsia="zh-CN"/>
        </w:rPr>
        <w:t>dication, such as ps</w:t>
      </w:r>
      <w:r w:rsidR="00427265">
        <w:rPr>
          <w:rFonts w:eastAsia="SimSun"/>
          <w:lang w:val="en-US" w:eastAsia="zh-CN"/>
        </w:rPr>
        <w:t>ychotherapy to be given</w:t>
      </w:r>
      <w:r w:rsidRPr="00D125CE">
        <w:rPr>
          <w:rFonts w:eastAsia="SimSun"/>
          <w:lang w:val="en-US" w:eastAsia="zh-CN"/>
        </w:rPr>
        <w:t>.</w:t>
      </w:r>
    </w:p>
    <w:p w:rsidR="00C52D20" w:rsidRPr="00D125CE" w:rsidRDefault="00D125CE" w:rsidP="00D125CE">
      <w:pPr>
        <w:pStyle w:val="NormalWeb"/>
        <w:spacing w:after="0" w:afterAutospacing="0" w:line="360" w:lineRule="auto"/>
      </w:pPr>
      <w:r>
        <w:t>Advance directive</w:t>
      </w:r>
      <w:r w:rsidR="00C52D20" w:rsidRPr="00D125CE">
        <w:t xml:space="preserve"> </w:t>
      </w:r>
    </w:p>
    <w:p w:rsidR="00C52D20" w:rsidRPr="00D125CE" w:rsidRDefault="00C52D20" w:rsidP="00D125CE">
      <w:pPr>
        <w:pStyle w:val="NormalWeb"/>
        <w:spacing w:after="0" w:afterAutospacing="0" w:line="360" w:lineRule="auto"/>
      </w:pPr>
      <w:r w:rsidRPr="00D125CE">
        <w:t xml:space="preserve">Free and informed Consent of the service user </w:t>
      </w:r>
    </w:p>
    <w:p w:rsidR="00C52D20" w:rsidRPr="00D125CE" w:rsidRDefault="00C52D20" w:rsidP="00D125CE">
      <w:pPr>
        <w:pStyle w:val="NormalWeb"/>
        <w:spacing w:after="0" w:afterAutospacing="0" w:line="360" w:lineRule="auto"/>
      </w:pPr>
      <w:r w:rsidRPr="00D125CE">
        <w:t>Restraint and seclusion as the least restrictive alternative- way of treatment.</w:t>
      </w:r>
    </w:p>
    <w:p w:rsidR="00B77EFC" w:rsidRPr="00D125CE" w:rsidRDefault="003A7626" w:rsidP="00D125CE">
      <w:pPr>
        <w:pStyle w:val="NormalWeb"/>
        <w:spacing w:after="0" w:afterAutospacing="0" w:line="360" w:lineRule="auto"/>
      </w:pPr>
      <w:r w:rsidRPr="00D125CE">
        <w:t>Education and training of consumers and facilities about the rights of</w:t>
      </w:r>
      <w:r w:rsidR="00D125CE" w:rsidRPr="00D125CE">
        <w:t xml:space="preserve"> people with mental disabilities</w:t>
      </w:r>
      <w:r w:rsidRPr="00D125CE">
        <w:t xml:space="preserve">. </w:t>
      </w:r>
    </w:p>
    <w:p w:rsidR="00570F39" w:rsidRPr="00D125CE" w:rsidRDefault="00570F39" w:rsidP="00D125CE">
      <w:pPr>
        <w:pStyle w:val="NormalWeb"/>
        <w:spacing w:after="0" w:afterAutospacing="0" w:line="360" w:lineRule="auto"/>
      </w:pPr>
    </w:p>
    <w:p w:rsidR="00570F39" w:rsidRPr="00D125CE" w:rsidRDefault="00570F39" w:rsidP="00D125CE">
      <w:pPr>
        <w:pStyle w:val="NormalWeb"/>
        <w:spacing w:after="0" w:afterAutospacing="0" w:line="360" w:lineRule="auto"/>
      </w:pPr>
    </w:p>
    <w:p w:rsidR="00570F39" w:rsidRPr="00D125CE" w:rsidRDefault="00254586" w:rsidP="00D125CE">
      <w:pPr>
        <w:pStyle w:val="NormalWeb"/>
        <w:spacing w:after="0" w:afterAutospacing="0" w:line="360" w:lineRule="auto"/>
      </w:pPr>
      <w:r w:rsidRPr="00D125CE">
        <w:t>References:</w:t>
      </w:r>
    </w:p>
    <w:p w:rsidR="0085119D" w:rsidRPr="00D125CE" w:rsidRDefault="006A5880" w:rsidP="00D125CE">
      <w:pPr>
        <w:spacing w:after="165" w:line="360" w:lineRule="auto"/>
        <w:rPr>
          <w:rFonts w:ascii="Times New Roman" w:hAnsi="Times New Roman" w:cs="Times New Roman"/>
          <w:sz w:val="24"/>
          <w:szCs w:val="24"/>
        </w:rPr>
      </w:pPr>
      <w:r w:rsidRPr="00D125CE">
        <w:rPr>
          <w:rFonts w:ascii="Times New Roman" w:hAnsi="Times New Roman" w:cs="Times New Roman"/>
          <w:sz w:val="24"/>
          <w:szCs w:val="24"/>
        </w:rPr>
        <w:t>Rosemary.K, Phillip.T  (</w:t>
      </w:r>
      <w:r w:rsidRPr="00D125CE">
        <w:rPr>
          <w:rFonts w:ascii="Times New Roman" w:hAnsi="Times New Roman" w:cs="Times New Roman"/>
          <w:sz w:val="24"/>
          <w:szCs w:val="24"/>
        </w:rPr>
        <w:t>2008</w:t>
      </w:r>
      <w:r w:rsidRPr="00D125CE">
        <w:rPr>
          <w:rFonts w:ascii="Times New Roman" w:hAnsi="Times New Roman" w:cs="Times New Roman"/>
          <w:sz w:val="24"/>
          <w:szCs w:val="24"/>
        </w:rPr>
        <w:t xml:space="preserve">) </w:t>
      </w:r>
      <w:r w:rsidRPr="00D125CE">
        <w:rPr>
          <w:rFonts w:ascii="Times New Roman" w:eastAsia="Arial" w:hAnsi="Times New Roman" w:cs="Times New Roman"/>
          <w:sz w:val="24"/>
          <w:szCs w:val="24"/>
        </w:rPr>
        <w:t>Out of darkness into light? Introducing the Convention on the Rights of Persons with Disabilities</w:t>
      </w:r>
    </w:p>
    <w:p w:rsidR="006A5880" w:rsidRPr="00D125CE" w:rsidRDefault="006A5880" w:rsidP="00D125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5CE">
        <w:rPr>
          <w:rFonts w:ascii="Times New Roman" w:hAnsi="Times New Roman" w:cs="Times New Roman"/>
          <w:sz w:val="24"/>
          <w:szCs w:val="24"/>
        </w:rPr>
        <w:t>Minkowitz, T. (2006) No-Force Advocacy by Users and Survivors of Psychiatry. Wellington: Mental Health Commission.</w:t>
      </w:r>
    </w:p>
    <w:p w:rsidR="00254586" w:rsidRPr="00D125CE" w:rsidRDefault="00254586" w:rsidP="00D125CE">
      <w:pPr>
        <w:pStyle w:val="NormalWeb"/>
        <w:spacing w:after="0" w:afterAutospacing="0" w:line="360" w:lineRule="auto"/>
      </w:pPr>
    </w:p>
    <w:sectPr w:rsidR="00254586" w:rsidRPr="00D125CE" w:rsidSect="00D125C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E1A" w:rsidRDefault="00F91E1A" w:rsidP="00B65B51">
      <w:pPr>
        <w:spacing w:after="0" w:line="240" w:lineRule="auto"/>
      </w:pPr>
      <w:r>
        <w:separator/>
      </w:r>
    </w:p>
  </w:endnote>
  <w:endnote w:type="continuationSeparator" w:id="0">
    <w:p w:rsidR="00F91E1A" w:rsidRDefault="00F91E1A" w:rsidP="00B6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E1A" w:rsidRDefault="00F91E1A" w:rsidP="00B65B51">
      <w:pPr>
        <w:spacing w:after="0" w:line="240" w:lineRule="auto"/>
      </w:pPr>
      <w:r>
        <w:separator/>
      </w:r>
    </w:p>
  </w:footnote>
  <w:footnote w:type="continuationSeparator" w:id="0">
    <w:p w:rsidR="00F91E1A" w:rsidRDefault="00F91E1A" w:rsidP="00B6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A3CEF"/>
    <w:multiLevelType w:val="hybridMultilevel"/>
    <w:tmpl w:val="05FE2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C7BA9"/>
    <w:multiLevelType w:val="hybridMultilevel"/>
    <w:tmpl w:val="CAC22314"/>
    <w:lvl w:ilvl="0" w:tplc="53A8B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06"/>
    <w:rsid w:val="00033030"/>
    <w:rsid w:val="0007129E"/>
    <w:rsid w:val="000C744A"/>
    <w:rsid w:val="0011083D"/>
    <w:rsid w:val="001604F4"/>
    <w:rsid w:val="002019D0"/>
    <w:rsid w:val="00247A5D"/>
    <w:rsid w:val="00254586"/>
    <w:rsid w:val="00256E84"/>
    <w:rsid w:val="002F2C1D"/>
    <w:rsid w:val="00322807"/>
    <w:rsid w:val="00386360"/>
    <w:rsid w:val="003A7626"/>
    <w:rsid w:val="00415C2A"/>
    <w:rsid w:val="00427265"/>
    <w:rsid w:val="00454AB0"/>
    <w:rsid w:val="004651A5"/>
    <w:rsid w:val="004F648D"/>
    <w:rsid w:val="00570F39"/>
    <w:rsid w:val="005C4592"/>
    <w:rsid w:val="00615409"/>
    <w:rsid w:val="006161E0"/>
    <w:rsid w:val="006333B8"/>
    <w:rsid w:val="006A5880"/>
    <w:rsid w:val="006B455C"/>
    <w:rsid w:val="00743542"/>
    <w:rsid w:val="00794B20"/>
    <w:rsid w:val="007C4654"/>
    <w:rsid w:val="007E5A37"/>
    <w:rsid w:val="007F4FB3"/>
    <w:rsid w:val="0085119D"/>
    <w:rsid w:val="008B40B3"/>
    <w:rsid w:val="00910E8D"/>
    <w:rsid w:val="009F511D"/>
    <w:rsid w:val="00A128B4"/>
    <w:rsid w:val="00A159DC"/>
    <w:rsid w:val="00A70D87"/>
    <w:rsid w:val="00B65B51"/>
    <w:rsid w:val="00B752AC"/>
    <w:rsid w:val="00B77EFC"/>
    <w:rsid w:val="00BA23ED"/>
    <w:rsid w:val="00BA34B1"/>
    <w:rsid w:val="00C52D20"/>
    <w:rsid w:val="00CC3CF5"/>
    <w:rsid w:val="00D125CE"/>
    <w:rsid w:val="00D356BE"/>
    <w:rsid w:val="00D80631"/>
    <w:rsid w:val="00D80757"/>
    <w:rsid w:val="00D90536"/>
    <w:rsid w:val="00DC297F"/>
    <w:rsid w:val="00E24C44"/>
    <w:rsid w:val="00E75445"/>
    <w:rsid w:val="00EA1458"/>
    <w:rsid w:val="00ED5C02"/>
    <w:rsid w:val="00F049A9"/>
    <w:rsid w:val="00F91E1A"/>
    <w:rsid w:val="00F94FF2"/>
    <w:rsid w:val="00F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98CEC-A6CF-4C79-9977-F2BAE602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FA1B06"/>
  </w:style>
  <w:style w:type="character" w:styleId="Hyperlink">
    <w:name w:val="Hyperlink"/>
    <w:basedOn w:val="DefaultParagraphFont"/>
    <w:uiPriority w:val="99"/>
    <w:semiHidden/>
    <w:unhideWhenUsed/>
    <w:rsid w:val="00FA1B06"/>
    <w:rPr>
      <w:color w:val="0000FF"/>
      <w:u w:val="single"/>
    </w:rPr>
  </w:style>
  <w:style w:type="paragraph" w:customStyle="1" w:styleId="Heading">
    <w:name w:val="Heading"/>
    <w:rsid w:val="006333B8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character" w:styleId="FootnoteReference">
    <w:name w:val="footnote reference"/>
    <w:basedOn w:val="DefaultParagraphFont"/>
    <w:semiHidden/>
    <w:rsid w:val="00B65B51"/>
    <w:rPr>
      <w:spacing w:val="-5"/>
      <w:w w:val="130"/>
      <w:position w:val="-4"/>
      <w:vertAlign w:val="superscript"/>
    </w:rPr>
  </w:style>
  <w:style w:type="paragraph" w:styleId="FootnoteText">
    <w:name w:val="footnote text"/>
    <w:basedOn w:val="Normal"/>
    <w:link w:val="FootnoteTextChar"/>
    <w:semiHidden/>
    <w:rsid w:val="00B65B51"/>
    <w:pPr>
      <w:widowControl w:val="0"/>
      <w:tabs>
        <w:tab w:val="right" w:pos="418"/>
      </w:tabs>
      <w:suppressAutoHyphens/>
      <w:spacing w:after="0" w:line="210" w:lineRule="exact"/>
      <w:ind w:left="475" w:hanging="475"/>
    </w:pPr>
    <w:rPr>
      <w:rFonts w:ascii="Times New Roman" w:eastAsia="Times New Roman" w:hAnsi="Times New Roman" w:cs="Times New Roman"/>
      <w:spacing w:val="5"/>
      <w:w w:val="104"/>
      <w:kern w:val="14"/>
      <w:sz w:val="17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B65B51"/>
    <w:rPr>
      <w:rFonts w:ascii="Times New Roman" w:eastAsia="Times New Roman" w:hAnsi="Times New Roman" w:cs="Times New Roman"/>
      <w:spacing w:val="5"/>
      <w:w w:val="104"/>
      <w:kern w:val="14"/>
      <w:sz w:val="17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2015-03-06T11:34:00Z</dcterms:created>
  <dcterms:modified xsi:type="dcterms:W3CDTF">2015-03-31T18:16:00Z</dcterms:modified>
</cp:coreProperties>
</file>