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51" w:rsidRPr="00950029" w:rsidRDefault="00F25C51" w:rsidP="00F25C51">
      <w:pPr>
        <w:pStyle w:val="NormalWeb"/>
        <w:spacing w:line="288" w:lineRule="atLeast"/>
        <w:rPr>
          <w:b/>
          <w:color w:val="000000"/>
          <w:u w:val="single"/>
          <w:lang w:val="en-GB"/>
        </w:rPr>
      </w:pPr>
      <w:r w:rsidRPr="00950029">
        <w:rPr>
          <w:b/>
          <w:color w:val="000000"/>
          <w:u w:val="single"/>
          <w:lang w:val="en-GB"/>
        </w:rPr>
        <w:t xml:space="preserve">Module -6 – Assignment- Case of Mrs A </w:t>
      </w:r>
    </w:p>
    <w:p w:rsidR="00F25C51" w:rsidRPr="00950029" w:rsidRDefault="00F25C51" w:rsidP="00F25C51">
      <w:pPr>
        <w:pStyle w:val="NormalWeb"/>
        <w:spacing w:line="288" w:lineRule="atLeast"/>
        <w:rPr>
          <w:b/>
          <w:color w:val="000000"/>
          <w:u w:val="single"/>
          <w:lang w:val="en-GB"/>
        </w:rPr>
      </w:pPr>
      <w:r w:rsidRPr="00950029">
        <w:rPr>
          <w:b/>
          <w:color w:val="000000"/>
          <w:u w:val="single"/>
          <w:lang w:val="en-GB"/>
        </w:rPr>
        <w:t xml:space="preserve">Vijay Chauhan * </w:t>
      </w:r>
    </w:p>
    <w:p w:rsidR="00F25C51" w:rsidRPr="00921C69" w:rsidRDefault="00F25C51" w:rsidP="00F25C51">
      <w:pPr>
        <w:rPr>
          <w:rFonts w:ascii="Times New Roman" w:hAnsi="Times New Roman" w:cs="Times New Roman"/>
        </w:rPr>
      </w:pPr>
      <w:r w:rsidRPr="00BF256C">
        <w:rPr>
          <w:rFonts w:ascii="Times New Roman" w:hAnsi="Times New Roman" w:cs="Times New Roman"/>
          <w:b/>
        </w:rPr>
        <w:t>“</w:t>
      </w:r>
      <w:r>
        <w:rPr>
          <w:rFonts w:ascii="Times New Roman" w:hAnsi="Times New Roman" w:cs="Times New Roman"/>
        </w:rPr>
        <w:t xml:space="preserve"> </w:t>
      </w:r>
      <w:r w:rsidRPr="00921C69">
        <w:rPr>
          <w:rFonts w:ascii="Times New Roman" w:hAnsi="Times New Roman" w:cs="Times New Roman"/>
        </w:rPr>
        <w:t>The promotion and protection of human rights has been a major preoccupation for the United Nations since 1945, when the Organization's founding nations resolved that the horrors of The Second World War should never be allowed to recur. Respect for human rights and human dignity "is the foundation of freedom, justice and peace in the world", the General Assembly declared three years later in the Universal Declaration of Human Rights. Over the years, a whole network of human rights instruments and mechanisms has been developed to ensure the primacy of human rights and to confront human rights violations wherever they occur.</w:t>
      </w:r>
      <w:r w:rsidRPr="00BF256C">
        <w:rPr>
          <w:rFonts w:ascii="Times New Roman" w:hAnsi="Times New Roman" w:cs="Times New Roman"/>
          <w:b/>
        </w:rPr>
        <w:t>”</w:t>
      </w:r>
    </w:p>
    <w:p w:rsidR="00950029" w:rsidRDefault="00950029" w:rsidP="00F25C51">
      <w:pPr>
        <w:rPr>
          <w:rFonts w:ascii="Times New Roman" w:hAnsi="Times New Roman" w:cs="Times New Roman"/>
          <w:b/>
        </w:rPr>
      </w:pPr>
    </w:p>
    <w:p w:rsidR="00F25C51" w:rsidRPr="00454629" w:rsidRDefault="00FC3D20" w:rsidP="00F25C51">
      <w:pPr>
        <w:rPr>
          <w:rFonts w:ascii="Times New Roman" w:hAnsi="Times New Roman" w:cs="Times New Roman"/>
          <w:b/>
        </w:rPr>
      </w:pPr>
      <w:r>
        <w:rPr>
          <w:rFonts w:ascii="Times New Roman" w:hAnsi="Times New Roman" w:cs="Times New Roman"/>
          <w:b/>
        </w:rPr>
        <w:t>As per c</w:t>
      </w:r>
      <w:r w:rsidR="00F25C51" w:rsidRPr="00454629">
        <w:rPr>
          <w:rFonts w:ascii="Times New Roman" w:hAnsi="Times New Roman" w:cs="Times New Roman"/>
          <w:b/>
        </w:rPr>
        <w:t xml:space="preserve">ase , we are going to </w:t>
      </w:r>
      <w:r w:rsidRPr="00454629">
        <w:rPr>
          <w:rFonts w:ascii="Times New Roman" w:hAnsi="Times New Roman" w:cs="Times New Roman"/>
          <w:b/>
        </w:rPr>
        <w:t>discuss</w:t>
      </w:r>
      <w:r w:rsidR="00F25C51" w:rsidRPr="00454629">
        <w:rPr>
          <w:rFonts w:ascii="Times New Roman" w:hAnsi="Times New Roman" w:cs="Times New Roman"/>
          <w:b/>
        </w:rPr>
        <w:t xml:space="preserve"> the case of Mrs A </w:t>
      </w:r>
    </w:p>
    <w:p w:rsidR="00F25C51" w:rsidRPr="00921C69" w:rsidRDefault="00F25C51" w:rsidP="00F25C51">
      <w:pPr>
        <w:pStyle w:val="NormalWeb"/>
        <w:spacing w:line="288" w:lineRule="atLeast"/>
        <w:rPr>
          <w:color w:val="000000"/>
          <w:lang w:val="en-GB"/>
        </w:rPr>
      </w:pPr>
      <w:r w:rsidRPr="00921C69">
        <w:rPr>
          <w:color w:val="000000"/>
          <w:lang w:val="en-GB"/>
        </w:rPr>
        <w:t>Mrs A’s husband</w:t>
      </w:r>
      <w:r w:rsidR="00FC3D20">
        <w:rPr>
          <w:color w:val="000000"/>
          <w:lang w:val="en-GB"/>
        </w:rPr>
        <w:t xml:space="preserve"> </w:t>
      </w:r>
      <w:r w:rsidRPr="00921C69">
        <w:rPr>
          <w:color w:val="000000"/>
          <w:lang w:val="en-GB"/>
        </w:rPr>
        <w:t>,perhaps,</w:t>
      </w:r>
      <w:r w:rsidR="00FC3D20">
        <w:rPr>
          <w:color w:val="000000"/>
          <w:lang w:val="en-GB"/>
        </w:rPr>
        <w:t xml:space="preserve"> </w:t>
      </w:r>
      <w:r w:rsidRPr="00921C69">
        <w:rPr>
          <w:color w:val="000000"/>
          <w:lang w:val="en-GB"/>
        </w:rPr>
        <w:t>is not capable of the taking care of his wife,</w:t>
      </w:r>
      <w:r w:rsidR="00FC3D20">
        <w:rPr>
          <w:color w:val="000000"/>
          <w:lang w:val="en-GB"/>
        </w:rPr>
        <w:t xml:space="preserve"> </w:t>
      </w:r>
      <w:r w:rsidRPr="00921C69">
        <w:rPr>
          <w:color w:val="000000"/>
          <w:lang w:val="en-GB"/>
        </w:rPr>
        <w:t>support from their children is limited. Due to prolonged ill health, Mrs A’s</w:t>
      </w:r>
      <w:r w:rsidR="00FC3D20">
        <w:rPr>
          <w:color w:val="000000"/>
          <w:lang w:val="en-GB"/>
        </w:rPr>
        <w:t xml:space="preserve"> </w:t>
      </w:r>
      <w:r w:rsidRPr="00921C69">
        <w:rPr>
          <w:color w:val="000000"/>
          <w:lang w:val="en-GB"/>
        </w:rPr>
        <w:t xml:space="preserve">condition has been getting from bad to worse. She has been refusing to take medicine or for admission in the hospital. </w:t>
      </w:r>
    </w:p>
    <w:p w:rsidR="00F25C51" w:rsidRPr="00921C69" w:rsidRDefault="00F25C51" w:rsidP="00F25C51">
      <w:pPr>
        <w:pStyle w:val="NormalWeb"/>
        <w:spacing w:line="288" w:lineRule="atLeast"/>
        <w:rPr>
          <w:color w:val="000000"/>
          <w:lang w:val="en-GB"/>
        </w:rPr>
      </w:pPr>
      <w:r w:rsidRPr="00921C69">
        <w:rPr>
          <w:color w:val="000000"/>
          <w:lang w:val="en-GB"/>
        </w:rPr>
        <w:t xml:space="preserve">Considering Mrs A’s case the following CRPD articles could be taken into account. </w:t>
      </w:r>
    </w:p>
    <w:tbl>
      <w:tblPr>
        <w:tblStyle w:val="TableGrid"/>
        <w:tblW w:w="10348" w:type="dxa"/>
        <w:tblInd w:w="-601" w:type="dxa"/>
        <w:tblLook w:val="04A0"/>
      </w:tblPr>
      <w:tblGrid>
        <w:gridCol w:w="3828"/>
        <w:gridCol w:w="6520"/>
      </w:tblGrid>
      <w:tr w:rsidR="00F25C51" w:rsidRPr="00921C69" w:rsidTr="007B1D43">
        <w:tc>
          <w:tcPr>
            <w:tcW w:w="3828" w:type="dxa"/>
          </w:tcPr>
          <w:p w:rsidR="00F25C51" w:rsidRPr="00921C69" w:rsidRDefault="00F25C51" w:rsidP="007B1D43">
            <w:pPr>
              <w:pStyle w:val="NormalWeb"/>
              <w:spacing w:line="288" w:lineRule="atLeast"/>
              <w:rPr>
                <w:b/>
                <w:color w:val="000000"/>
                <w:lang w:val="en-GB"/>
              </w:rPr>
            </w:pPr>
            <w:r w:rsidRPr="00921C69">
              <w:rPr>
                <w:b/>
                <w:color w:val="000000"/>
                <w:lang w:val="en-GB"/>
              </w:rPr>
              <w:t xml:space="preserve">Mrs A’s Case </w:t>
            </w:r>
          </w:p>
        </w:tc>
        <w:tc>
          <w:tcPr>
            <w:tcW w:w="6520" w:type="dxa"/>
          </w:tcPr>
          <w:p w:rsidR="00F25C51" w:rsidRPr="00921C69" w:rsidRDefault="00F25C51" w:rsidP="007B1D43">
            <w:pPr>
              <w:pStyle w:val="NormalWeb"/>
              <w:spacing w:line="288" w:lineRule="atLeast"/>
              <w:rPr>
                <w:b/>
                <w:color w:val="000000"/>
                <w:lang w:val="en-GB"/>
              </w:rPr>
            </w:pPr>
            <w:r w:rsidRPr="00921C69">
              <w:rPr>
                <w:b/>
                <w:color w:val="000000"/>
                <w:lang w:val="en-GB"/>
              </w:rPr>
              <w:t xml:space="preserve"> Violation of CRPD Article</w:t>
            </w:r>
          </w:p>
        </w:tc>
      </w:tr>
      <w:tr w:rsidR="00F25C51" w:rsidRPr="00921C69" w:rsidTr="007B1D43">
        <w:tc>
          <w:tcPr>
            <w:tcW w:w="3828" w:type="dxa"/>
          </w:tcPr>
          <w:p w:rsidR="00F25C51" w:rsidRPr="00921C69" w:rsidRDefault="00F25C51" w:rsidP="007B1D43">
            <w:pPr>
              <w:pStyle w:val="NormalWeb"/>
              <w:spacing w:line="288" w:lineRule="atLeast"/>
              <w:rPr>
                <w:color w:val="000000"/>
                <w:lang w:val="en-GB"/>
              </w:rPr>
            </w:pPr>
            <w:r w:rsidRPr="00921C69">
              <w:rPr>
                <w:color w:val="000000"/>
                <w:lang w:val="en-GB"/>
              </w:rPr>
              <w:t xml:space="preserve">Admitted in the hospital without consent </w:t>
            </w:r>
          </w:p>
        </w:tc>
        <w:tc>
          <w:tcPr>
            <w:tcW w:w="6520" w:type="dxa"/>
          </w:tcPr>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Accessibility (Article 9)</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Living independently and being included in the community (Artic</w:t>
            </w:r>
            <w:r w:rsidR="0044496F">
              <w:rPr>
                <w:rFonts w:ascii="Times New Roman" w:hAnsi="Times New Roman" w:cs="Times New Roman"/>
                <w:lang w:val="en-GB"/>
              </w:rPr>
              <w:t>le</w:t>
            </w:r>
            <w:r w:rsidRPr="00921C69">
              <w:rPr>
                <w:rFonts w:ascii="Times New Roman" w:hAnsi="Times New Roman" w:cs="Times New Roman"/>
                <w:lang w:val="en-GB"/>
              </w:rPr>
              <w:t>19)</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Personal mobility (Article 20)</w:t>
            </w:r>
          </w:p>
        </w:tc>
      </w:tr>
      <w:tr w:rsidR="00F25C51" w:rsidRPr="00921C69" w:rsidTr="007B1D43">
        <w:tc>
          <w:tcPr>
            <w:tcW w:w="3828" w:type="dxa"/>
          </w:tcPr>
          <w:p w:rsidR="00F25C51" w:rsidRPr="00921C69" w:rsidRDefault="00F25C51" w:rsidP="007B1D43">
            <w:pPr>
              <w:pStyle w:val="NormalWeb"/>
              <w:spacing w:line="288" w:lineRule="atLeast"/>
              <w:rPr>
                <w:color w:val="000000"/>
                <w:lang w:val="en-GB"/>
              </w:rPr>
            </w:pPr>
            <w:r w:rsidRPr="00921C69">
              <w:rPr>
                <w:color w:val="000000"/>
                <w:lang w:val="en-GB"/>
              </w:rPr>
              <w:t>No medicine was working on her and her situation remains same</w:t>
            </w:r>
          </w:p>
        </w:tc>
        <w:tc>
          <w:tcPr>
            <w:tcW w:w="6520" w:type="dxa"/>
          </w:tcPr>
          <w:p w:rsidR="00F25C51" w:rsidRPr="00921C69" w:rsidRDefault="00F25C51" w:rsidP="007B1D43">
            <w:pPr>
              <w:pStyle w:val="NormalWeb"/>
              <w:spacing w:line="288" w:lineRule="atLeast"/>
              <w:rPr>
                <w:color w:val="000000"/>
                <w:lang w:val="en-GB"/>
              </w:rPr>
            </w:pPr>
            <w:r w:rsidRPr="00921C69">
              <w:rPr>
                <w:color w:val="000000"/>
                <w:lang w:val="en-GB"/>
              </w:rPr>
              <w:t>Health (Article 25)</w:t>
            </w:r>
          </w:p>
        </w:tc>
      </w:tr>
      <w:tr w:rsidR="00F25C51" w:rsidRPr="00921C69" w:rsidTr="007B1D43">
        <w:trPr>
          <w:trHeight w:val="2150"/>
        </w:trPr>
        <w:tc>
          <w:tcPr>
            <w:tcW w:w="3828" w:type="dxa"/>
          </w:tcPr>
          <w:p w:rsidR="00F25C51" w:rsidRPr="00921C69" w:rsidRDefault="00F25C51" w:rsidP="007B1D43">
            <w:pPr>
              <w:pStyle w:val="NormalWeb"/>
              <w:spacing w:line="288" w:lineRule="atLeast"/>
              <w:rPr>
                <w:color w:val="000000"/>
                <w:lang w:val="en-GB"/>
              </w:rPr>
            </w:pPr>
            <w:r w:rsidRPr="00921C69">
              <w:rPr>
                <w:color w:val="000000"/>
                <w:lang w:val="en-GB"/>
              </w:rPr>
              <w:t xml:space="preserve">Restrained for 12 hours to her bed and allowed little movement, body hygiene, eating and re-hydration </w:t>
            </w:r>
          </w:p>
        </w:tc>
        <w:tc>
          <w:tcPr>
            <w:tcW w:w="6520" w:type="dxa"/>
          </w:tcPr>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Accessibility (Article 9)</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 xml:space="preserve">Liberty and Security of person (Article 14) </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Freedom from torture or cruel, inhuman or degrading treatment (Article 15)</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Freedom from Exploitation, violence and abuse (Article 16)</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Living independently and being inc</w:t>
            </w:r>
            <w:r w:rsidR="00734B97">
              <w:rPr>
                <w:rFonts w:ascii="Times New Roman" w:hAnsi="Times New Roman" w:cs="Times New Roman"/>
                <w:lang w:val="en-GB"/>
              </w:rPr>
              <w:t>luded in the community (Article</w:t>
            </w:r>
            <w:r w:rsidRPr="00921C69">
              <w:rPr>
                <w:rFonts w:ascii="Times New Roman" w:hAnsi="Times New Roman" w:cs="Times New Roman"/>
                <w:lang w:val="en-GB"/>
              </w:rPr>
              <w:t>19)</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Personal mobility (Article 20)</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Health (Article 25)</w:t>
            </w:r>
          </w:p>
        </w:tc>
      </w:tr>
      <w:tr w:rsidR="00F25C51" w:rsidRPr="00921C69" w:rsidTr="007B1D43">
        <w:tc>
          <w:tcPr>
            <w:tcW w:w="3828" w:type="dxa"/>
          </w:tcPr>
          <w:p w:rsidR="00F25C51" w:rsidRPr="00921C69" w:rsidRDefault="00F25C51" w:rsidP="007B1D43">
            <w:pPr>
              <w:pStyle w:val="NormalWeb"/>
              <w:spacing w:line="288" w:lineRule="atLeast"/>
              <w:rPr>
                <w:color w:val="000000"/>
                <w:lang w:val="en-GB"/>
              </w:rPr>
            </w:pPr>
            <w:r w:rsidRPr="00921C69">
              <w:rPr>
                <w:color w:val="000000"/>
                <w:lang w:val="en-GB"/>
              </w:rPr>
              <w:t xml:space="preserve">She was administrated high dose of </w:t>
            </w:r>
            <w:r w:rsidRPr="00921C69">
              <w:rPr>
                <w:color w:val="3A2E28"/>
              </w:rPr>
              <w:t>benzodiazepine</w:t>
            </w:r>
          </w:p>
        </w:tc>
        <w:tc>
          <w:tcPr>
            <w:tcW w:w="6520" w:type="dxa"/>
          </w:tcPr>
          <w:p w:rsidR="00F25C51" w:rsidRPr="00921C69" w:rsidRDefault="00F25C51" w:rsidP="007B1D43">
            <w:pPr>
              <w:pStyle w:val="NormalWeb"/>
              <w:spacing w:line="288" w:lineRule="atLeast"/>
              <w:rPr>
                <w:color w:val="000000"/>
                <w:lang w:val="en-GB"/>
              </w:rPr>
            </w:pPr>
            <w:r w:rsidRPr="00921C69">
              <w:rPr>
                <w:color w:val="000000"/>
                <w:lang w:val="en-GB"/>
              </w:rPr>
              <w:t>Health (Article 25)</w:t>
            </w:r>
          </w:p>
        </w:tc>
      </w:tr>
      <w:tr w:rsidR="00F25C51" w:rsidRPr="00921C69" w:rsidTr="007B1D43">
        <w:tc>
          <w:tcPr>
            <w:tcW w:w="3828" w:type="dxa"/>
          </w:tcPr>
          <w:p w:rsidR="00F25C51" w:rsidRPr="00921C69" w:rsidRDefault="00F25C51" w:rsidP="007B1D43">
            <w:pPr>
              <w:pStyle w:val="NormalWeb"/>
              <w:spacing w:line="288" w:lineRule="atLeast"/>
              <w:rPr>
                <w:color w:val="000000"/>
                <w:lang w:val="en-GB"/>
              </w:rPr>
            </w:pPr>
            <w:r w:rsidRPr="00921C69">
              <w:rPr>
                <w:color w:val="000000"/>
                <w:lang w:val="en-GB"/>
              </w:rPr>
              <w:t>Suffers</w:t>
            </w:r>
            <w:r w:rsidR="009E536B">
              <w:rPr>
                <w:color w:val="000000"/>
                <w:lang w:val="en-GB"/>
              </w:rPr>
              <w:t xml:space="preserve"> </w:t>
            </w:r>
            <w:r w:rsidRPr="00921C69">
              <w:rPr>
                <w:color w:val="000000"/>
                <w:lang w:val="en-GB"/>
              </w:rPr>
              <w:t xml:space="preserve"> thrombo-embolism</w:t>
            </w:r>
            <w:r w:rsidR="009E536B">
              <w:rPr>
                <w:color w:val="000000"/>
                <w:lang w:val="en-GB"/>
              </w:rPr>
              <w:t xml:space="preserve"> </w:t>
            </w:r>
            <w:r w:rsidRPr="00921C69">
              <w:rPr>
                <w:color w:val="000000"/>
                <w:lang w:val="en-GB"/>
              </w:rPr>
              <w:t xml:space="preserve"> of</w:t>
            </w:r>
            <w:r w:rsidR="00121CDE">
              <w:rPr>
                <w:color w:val="000000"/>
                <w:lang w:val="en-GB"/>
              </w:rPr>
              <w:t xml:space="preserve"> </w:t>
            </w:r>
            <w:r w:rsidRPr="00921C69">
              <w:rPr>
                <w:color w:val="000000"/>
                <w:lang w:val="en-GB"/>
              </w:rPr>
              <w:t xml:space="preserve"> central </w:t>
            </w:r>
            <w:r w:rsidR="00121CDE">
              <w:rPr>
                <w:color w:val="000000"/>
                <w:lang w:val="en-GB"/>
              </w:rPr>
              <w:t xml:space="preserve">  </w:t>
            </w:r>
            <w:r w:rsidRPr="00921C69">
              <w:rPr>
                <w:color w:val="000000"/>
                <w:lang w:val="en-GB"/>
              </w:rPr>
              <w:t>pulmonary artery</w:t>
            </w:r>
            <w:r w:rsidR="009E536B">
              <w:rPr>
                <w:color w:val="000000"/>
                <w:lang w:val="en-GB"/>
              </w:rPr>
              <w:t xml:space="preserve"> </w:t>
            </w:r>
            <w:r w:rsidRPr="00921C69">
              <w:rPr>
                <w:color w:val="000000"/>
                <w:lang w:val="en-GB"/>
              </w:rPr>
              <w:t xml:space="preserve"> due</w:t>
            </w:r>
            <w:r w:rsidR="009E536B">
              <w:rPr>
                <w:color w:val="000000"/>
                <w:lang w:val="en-GB"/>
              </w:rPr>
              <w:t xml:space="preserve"> </w:t>
            </w:r>
            <w:r w:rsidRPr="00921C69">
              <w:rPr>
                <w:color w:val="000000"/>
                <w:lang w:val="en-GB"/>
              </w:rPr>
              <w:t xml:space="preserve"> to immobilization</w:t>
            </w:r>
          </w:p>
        </w:tc>
        <w:tc>
          <w:tcPr>
            <w:tcW w:w="6520" w:type="dxa"/>
          </w:tcPr>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Health (Article 25)</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Freedom from torture or cruel, inhuman or degrading treatment (Article 15</w:t>
            </w:r>
            <w:r w:rsidR="00734B97">
              <w:rPr>
                <w:rFonts w:ascii="Times New Roman" w:hAnsi="Times New Roman" w:cs="Times New Roman"/>
                <w:lang w:val="en-GB"/>
              </w:rPr>
              <w:t>)</w:t>
            </w:r>
          </w:p>
          <w:p w:rsidR="00F25C51" w:rsidRPr="00921C69" w:rsidRDefault="00F25C51" w:rsidP="007B1D43">
            <w:pPr>
              <w:pStyle w:val="NoSpacing"/>
              <w:rPr>
                <w:rFonts w:ascii="Times New Roman" w:hAnsi="Times New Roman" w:cs="Times New Roman"/>
                <w:lang w:val="en-GB"/>
              </w:rPr>
            </w:pPr>
            <w:r w:rsidRPr="00921C69">
              <w:rPr>
                <w:rFonts w:ascii="Times New Roman" w:hAnsi="Times New Roman" w:cs="Times New Roman"/>
                <w:lang w:val="en-GB"/>
              </w:rPr>
              <w:t>Personal mobility (Article 20)</w:t>
            </w:r>
          </w:p>
        </w:tc>
      </w:tr>
    </w:tbl>
    <w:p w:rsidR="00F25C51" w:rsidRPr="00921C69" w:rsidRDefault="00F25C51" w:rsidP="00F25C51">
      <w:pPr>
        <w:rPr>
          <w:rFonts w:ascii="Times New Roman" w:hAnsi="Times New Roman" w:cs="Times New Roman"/>
          <w:color w:val="000000"/>
          <w:lang w:val="en-US"/>
        </w:rPr>
      </w:pPr>
    </w:p>
    <w:p w:rsidR="00F25C51" w:rsidRPr="00921C69" w:rsidRDefault="00F25C51" w:rsidP="00F25C51">
      <w:pPr>
        <w:rPr>
          <w:rFonts w:ascii="Times New Roman" w:hAnsi="Times New Roman" w:cs="Times New Roman"/>
          <w:color w:val="000000"/>
          <w:lang w:val="en-US"/>
        </w:rPr>
      </w:pPr>
    </w:p>
    <w:p w:rsidR="001568F7" w:rsidRDefault="001568F7" w:rsidP="00F25C51">
      <w:pPr>
        <w:rPr>
          <w:rFonts w:ascii="Times New Roman" w:hAnsi="Times New Roman" w:cs="Times New Roman"/>
          <w:color w:val="000000"/>
          <w:lang w:val="en-US"/>
        </w:rPr>
      </w:pPr>
    </w:p>
    <w:p w:rsidR="001568F7" w:rsidRDefault="001568F7" w:rsidP="00F25C51">
      <w:pPr>
        <w:rPr>
          <w:rFonts w:ascii="Times New Roman" w:hAnsi="Times New Roman" w:cs="Times New Roman"/>
          <w:color w:val="000000"/>
          <w:lang w:val="en-US"/>
        </w:rPr>
      </w:pPr>
    </w:p>
    <w:p w:rsidR="001568F7" w:rsidRDefault="001568F7" w:rsidP="00F25C51">
      <w:pPr>
        <w:rPr>
          <w:rFonts w:ascii="Times New Roman" w:hAnsi="Times New Roman" w:cs="Times New Roman"/>
          <w:color w:val="000000"/>
          <w:lang w:val="en-US"/>
        </w:rPr>
      </w:pPr>
    </w:p>
    <w:p w:rsidR="00950029" w:rsidRDefault="00950029" w:rsidP="00F25C51">
      <w:pPr>
        <w:rPr>
          <w:rFonts w:ascii="Times New Roman" w:hAnsi="Times New Roman" w:cs="Times New Roman"/>
          <w:color w:val="000000"/>
          <w:lang w:val="en-US"/>
        </w:rPr>
      </w:pPr>
    </w:p>
    <w:p w:rsidR="00F25C51" w:rsidRPr="00921C69" w:rsidRDefault="00F25C51" w:rsidP="00F25C51">
      <w:pPr>
        <w:rPr>
          <w:rFonts w:ascii="Times New Roman" w:hAnsi="Times New Roman" w:cs="Times New Roman"/>
          <w:color w:val="000000"/>
          <w:lang w:val="en-US"/>
        </w:rPr>
      </w:pPr>
      <w:r w:rsidRPr="00921C69">
        <w:rPr>
          <w:rFonts w:ascii="Times New Roman" w:hAnsi="Times New Roman" w:cs="Times New Roman"/>
          <w:color w:val="000000"/>
          <w:lang w:val="en-US"/>
        </w:rPr>
        <w:t>A particular challenge in the context of promoting and protecting the right to liberty and security of persons with disabilities is the legislation and practice related to health care and more specifically to institutionalization without free and informed consent of the person concerned . Although, there are many points that could discussed in the case of Mrs</w:t>
      </w:r>
      <w:r w:rsidR="00914814">
        <w:rPr>
          <w:rFonts w:ascii="Times New Roman" w:hAnsi="Times New Roman" w:cs="Times New Roman"/>
          <w:color w:val="000000"/>
          <w:lang w:val="en-US"/>
        </w:rPr>
        <w:t>.</w:t>
      </w:r>
      <w:r w:rsidRPr="00921C69">
        <w:rPr>
          <w:rFonts w:ascii="Times New Roman" w:hAnsi="Times New Roman" w:cs="Times New Roman"/>
          <w:color w:val="000000"/>
          <w:lang w:val="en-US"/>
        </w:rPr>
        <w:t xml:space="preserve"> </w:t>
      </w:r>
      <w:r w:rsidR="00914814">
        <w:rPr>
          <w:rFonts w:ascii="Times New Roman" w:hAnsi="Times New Roman" w:cs="Times New Roman"/>
          <w:color w:val="000000"/>
          <w:lang w:val="en-US"/>
        </w:rPr>
        <w:t xml:space="preserve"> </w:t>
      </w:r>
      <w:r w:rsidRPr="00921C69">
        <w:rPr>
          <w:rFonts w:ascii="Times New Roman" w:hAnsi="Times New Roman" w:cs="Times New Roman"/>
          <w:color w:val="000000"/>
          <w:lang w:val="en-US"/>
        </w:rPr>
        <w:t>A, but the focus of this discussion lies around “</w:t>
      </w:r>
      <w:r w:rsidRPr="00921C69">
        <w:rPr>
          <w:rFonts w:ascii="Times New Roman" w:hAnsi="Times New Roman" w:cs="Times New Roman"/>
          <w:b/>
          <w:i/>
          <w:color w:val="000000"/>
          <w:lang w:val="en-US"/>
        </w:rPr>
        <w:t>Liberty and living with community</w:t>
      </w:r>
      <w:r w:rsidRPr="00921C69">
        <w:rPr>
          <w:rFonts w:ascii="Times New Roman" w:hAnsi="Times New Roman" w:cs="Times New Roman"/>
          <w:color w:val="000000"/>
          <w:lang w:val="en-US"/>
        </w:rPr>
        <w:t xml:space="preserve">”. </w:t>
      </w:r>
    </w:p>
    <w:p w:rsidR="00F25C51" w:rsidRPr="00921C69" w:rsidRDefault="00F25C51" w:rsidP="00F25C51">
      <w:pPr>
        <w:rPr>
          <w:rFonts w:ascii="Times New Roman" w:hAnsi="Times New Roman" w:cs="Times New Roman"/>
          <w:color w:val="000000"/>
          <w:lang w:val="en-US"/>
        </w:rPr>
      </w:pPr>
      <w:r w:rsidRPr="00921C69">
        <w:rPr>
          <w:rFonts w:ascii="Times New Roman" w:hAnsi="Times New Roman" w:cs="Times New Roman"/>
          <w:color w:val="000000"/>
          <w:lang w:val="en-US"/>
        </w:rPr>
        <w:t>In Mrs</w:t>
      </w:r>
      <w:r w:rsidR="00914814">
        <w:rPr>
          <w:rFonts w:ascii="Times New Roman" w:hAnsi="Times New Roman" w:cs="Times New Roman"/>
          <w:color w:val="000000"/>
          <w:lang w:val="en-US"/>
        </w:rPr>
        <w:t>.</w:t>
      </w:r>
      <w:r w:rsidRPr="00921C69">
        <w:rPr>
          <w:rFonts w:ascii="Times New Roman" w:hAnsi="Times New Roman" w:cs="Times New Roman"/>
          <w:color w:val="000000"/>
          <w:lang w:val="en-US"/>
        </w:rPr>
        <w:t xml:space="preserve"> A’s case, mental d</w:t>
      </w:r>
      <w:r w:rsidRPr="00921C69">
        <w:rPr>
          <w:rFonts w:ascii="Times New Roman" w:hAnsi="Times New Roman" w:cs="Times New Roman"/>
          <w:color w:val="000000"/>
          <w:lang w:val="hu-HU"/>
        </w:rPr>
        <w:t>isability had been a factor of deprivation of  liberty which should have not been the case. Art</w:t>
      </w:r>
      <w:r w:rsidR="00675EAD">
        <w:rPr>
          <w:rFonts w:ascii="Times New Roman" w:hAnsi="Times New Roman" w:cs="Times New Roman"/>
          <w:color w:val="000000"/>
          <w:lang w:val="hu-HU"/>
        </w:rPr>
        <w:t>icle</w:t>
      </w:r>
      <w:r w:rsidRPr="00921C69">
        <w:rPr>
          <w:rFonts w:ascii="Times New Roman" w:hAnsi="Times New Roman" w:cs="Times New Roman"/>
          <w:color w:val="000000"/>
          <w:lang w:val="hu-HU"/>
        </w:rPr>
        <w:t xml:space="preserve"> 14 of CRPD prohibits arbitrary and unlawful deprivation of liberty. It stresses that Existence of a disability, alone or in combination with something else, shall never justify deprivation of liberty. Deprivation of liberty in combination with involuntary interventions may be torture. </w:t>
      </w:r>
    </w:p>
    <w:p w:rsidR="00F25C51" w:rsidRPr="00921C69" w:rsidRDefault="00F25C51" w:rsidP="00F25C51">
      <w:pPr>
        <w:pStyle w:val="NormalWeb"/>
        <w:spacing w:line="288" w:lineRule="atLeast"/>
        <w:rPr>
          <w:color w:val="000000"/>
          <w:lang w:val="en-GB"/>
        </w:rPr>
      </w:pPr>
      <w:r w:rsidRPr="00921C69">
        <w:rPr>
          <w:color w:val="000000"/>
          <w:lang w:val="en-GB"/>
        </w:rPr>
        <w:t xml:space="preserve">The Special </w:t>
      </w:r>
      <w:r w:rsidR="00914814">
        <w:rPr>
          <w:color w:val="000000"/>
          <w:lang w:val="en-GB"/>
        </w:rPr>
        <w:t xml:space="preserve"> </w:t>
      </w:r>
      <w:r w:rsidRPr="00921C69">
        <w:rPr>
          <w:color w:val="000000"/>
          <w:lang w:val="en-GB"/>
        </w:rPr>
        <w:t xml:space="preserve">Rapporteur defines prolonged solitary confinement as any period of solitary confinement in excess of 15 days. He stresses that solitary confinement is a harsh measure which may cause serious psychological and physiological adverse effects on individuals regardless of their specific conditions. He finds solitary confinement to be contrary to one of the essential aims of the penitentiary system, which is to rehabilitate offenders and facilitate their reintegration into society. </w:t>
      </w:r>
    </w:p>
    <w:p w:rsidR="00F25C51" w:rsidRPr="00921C69" w:rsidRDefault="00F25C51" w:rsidP="00F25C51">
      <w:pPr>
        <w:pStyle w:val="NormalWeb"/>
        <w:spacing w:line="288" w:lineRule="atLeast"/>
        <w:rPr>
          <w:color w:val="000000"/>
          <w:lang w:val="en-GB"/>
        </w:rPr>
      </w:pPr>
      <w:r w:rsidRPr="00921C69">
        <w:rPr>
          <w:color w:val="000000"/>
          <w:lang w:val="en-GB"/>
        </w:rPr>
        <w:t xml:space="preserve">The Special Rapporteur said that the solitary confinement can amount to a breach of article 7 of the International Covenant on Civil and Political Rights, and to an act defined in article 1 or article 16 of the Convention against Torture. In addition, the use of solitary confinement increases the risk that, acts of torture and other cruel, inhuman or degrading treatment or punishment will go undetected and unchallenged. </w:t>
      </w:r>
      <w:r w:rsidRPr="00921C69">
        <w:rPr>
          <w:color w:val="000000"/>
          <w:lang w:val="en-GB"/>
        </w:rPr>
        <w:cr/>
      </w:r>
      <w:bookmarkStart w:id="0" w:name="_GoBack"/>
      <w:bookmarkEnd w:id="0"/>
    </w:p>
    <w:p w:rsidR="00F25C51" w:rsidRPr="00921C69" w:rsidRDefault="00F25C51" w:rsidP="00F25C51">
      <w:pPr>
        <w:pStyle w:val="NormalWeb"/>
        <w:spacing w:line="288" w:lineRule="atLeast"/>
        <w:rPr>
          <w:color w:val="000000"/>
          <w:lang w:val="en-GB"/>
        </w:rPr>
      </w:pPr>
      <w:r w:rsidRPr="00921C69">
        <w:rPr>
          <w:color w:val="000000"/>
          <w:lang w:val="hu-HU"/>
        </w:rPr>
        <w:t>CRPD Art</w:t>
      </w:r>
      <w:r w:rsidR="00A902BC">
        <w:rPr>
          <w:color w:val="000000"/>
          <w:lang w:val="hu-HU"/>
        </w:rPr>
        <w:t>icle</w:t>
      </w:r>
      <w:r w:rsidRPr="00921C69">
        <w:rPr>
          <w:color w:val="000000"/>
          <w:lang w:val="hu-HU"/>
        </w:rPr>
        <w:t xml:space="preserve"> 19, </w:t>
      </w:r>
      <w:r w:rsidRPr="00921C69">
        <w:rPr>
          <w:color w:val="000000"/>
          <w:lang w:val="en-GB"/>
        </w:rPr>
        <w:t xml:space="preserve">Living independently and being included in the community, states that it is the equal right of all persons with disabilities to live in the community with choices equal to others. It is the State’s responsibility to take effective and appropriate measures to facilitate full enjoyment by persons with disabilities of their rights and their full inclusion and participation in the community. </w:t>
      </w:r>
    </w:p>
    <w:p w:rsidR="00F25C51" w:rsidRPr="00921C69" w:rsidRDefault="00F25C51" w:rsidP="00F25C51">
      <w:pPr>
        <w:pStyle w:val="NormalWeb"/>
        <w:spacing w:line="288" w:lineRule="atLeast"/>
        <w:rPr>
          <w:color w:val="000000"/>
          <w:shd w:val="clear" w:color="auto" w:fill="FFFFFF"/>
        </w:rPr>
      </w:pPr>
      <w:r w:rsidRPr="00921C69">
        <w:rPr>
          <w:color w:val="000000"/>
          <w:lang w:val="en-GB"/>
        </w:rPr>
        <w:t>Mrs A, who was admitted to the hospital, for treatment and recovery, but due to restrain and immobility she suffered from</w:t>
      </w:r>
      <w:r w:rsidR="00914814">
        <w:rPr>
          <w:color w:val="000000"/>
          <w:lang w:val="en-GB"/>
        </w:rPr>
        <w:t xml:space="preserve"> </w:t>
      </w:r>
      <w:r w:rsidRPr="00921C69">
        <w:rPr>
          <w:color w:val="000000"/>
          <w:lang w:val="en-GB"/>
        </w:rPr>
        <w:t xml:space="preserve"> thrombo</w:t>
      </w:r>
      <w:r w:rsidR="00914814">
        <w:rPr>
          <w:color w:val="000000"/>
          <w:lang w:val="en-GB"/>
        </w:rPr>
        <w:t xml:space="preserve"> </w:t>
      </w:r>
      <w:r w:rsidRPr="00921C69">
        <w:rPr>
          <w:color w:val="000000"/>
          <w:lang w:val="en-GB"/>
        </w:rPr>
        <w:t xml:space="preserve"> embolism.</w:t>
      </w:r>
      <w:r w:rsidRPr="00921C69">
        <w:rPr>
          <w:color w:val="000000"/>
          <w:shd w:val="clear" w:color="auto" w:fill="FFFFFF"/>
        </w:rPr>
        <w:t xml:space="preserve"> The confinement of the Mrs</w:t>
      </w:r>
      <w:r w:rsidR="00914814">
        <w:rPr>
          <w:color w:val="000000"/>
          <w:shd w:val="clear" w:color="auto" w:fill="FFFFFF"/>
        </w:rPr>
        <w:t>.</w:t>
      </w:r>
      <w:r w:rsidRPr="00921C69">
        <w:rPr>
          <w:color w:val="000000"/>
          <w:shd w:val="clear" w:color="auto" w:fill="FFFFFF"/>
        </w:rPr>
        <w:t xml:space="preserve"> A is in violation of Clause of CRPD’s Art</w:t>
      </w:r>
      <w:r w:rsidR="00E63550">
        <w:rPr>
          <w:color w:val="000000"/>
          <w:shd w:val="clear" w:color="auto" w:fill="FFFFFF"/>
        </w:rPr>
        <w:t>icle</w:t>
      </w:r>
      <w:r w:rsidRPr="00921C69">
        <w:rPr>
          <w:color w:val="000000"/>
          <w:shd w:val="clear" w:color="auto" w:fill="FFFFFF"/>
        </w:rPr>
        <w:t xml:space="preserve"> 25, which stresses that persons with disabilities should be provided with the same range, quality and standard of health care. Also, it states that the health services should be provided as close to as possible to people’s own communities. </w:t>
      </w:r>
    </w:p>
    <w:p w:rsidR="00F25C51" w:rsidRPr="00921C69" w:rsidRDefault="00F25C51" w:rsidP="00F25C51">
      <w:pPr>
        <w:pStyle w:val="NormalWeb"/>
        <w:spacing w:line="288" w:lineRule="atLeast"/>
        <w:rPr>
          <w:color w:val="000000"/>
          <w:shd w:val="clear" w:color="auto" w:fill="FFFFFF"/>
        </w:rPr>
      </w:pPr>
      <w:r w:rsidRPr="00921C69">
        <w:rPr>
          <w:color w:val="000000"/>
          <w:shd w:val="clear" w:color="auto" w:fill="FFFFFF"/>
        </w:rPr>
        <w:t xml:space="preserve">Regarding “liberty” the International Disability Alliance (IDA) argues that it is a fundamental right and it must be recognized and enforced without </w:t>
      </w:r>
      <w:r w:rsidR="00914814" w:rsidRPr="00921C69">
        <w:rPr>
          <w:color w:val="000000"/>
          <w:shd w:val="clear" w:color="auto" w:fill="FFFFFF"/>
        </w:rPr>
        <w:t>discrimination</w:t>
      </w:r>
      <w:r w:rsidRPr="00921C69">
        <w:rPr>
          <w:color w:val="000000"/>
          <w:shd w:val="clear" w:color="auto" w:fill="FFFFFF"/>
        </w:rPr>
        <w:t>. The Art</w:t>
      </w:r>
      <w:r w:rsidR="00165505">
        <w:rPr>
          <w:color w:val="000000"/>
          <w:shd w:val="clear" w:color="auto" w:fill="FFFFFF"/>
        </w:rPr>
        <w:t>icle</w:t>
      </w:r>
      <w:r w:rsidRPr="00921C69">
        <w:rPr>
          <w:color w:val="000000"/>
          <w:shd w:val="clear" w:color="auto" w:fill="FFFFFF"/>
        </w:rPr>
        <w:t xml:space="preserve"> 19, of CRPD states that persons with </w:t>
      </w:r>
      <w:r w:rsidR="00914814" w:rsidRPr="00921C69">
        <w:rPr>
          <w:color w:val="000000"/>
          <w:shd w:val="clear" w:color="auto" w:fill="FFFFFF"/>
        </w:rPr>
        <w:t>di</w:t>
      </w:r>
      <w:r w:rsidR="00914814">
        <w:rPr>
          <w:color w:val="000000"/>
          <w:shd w:val="clear" w:color="auto" w:fill="FFFFFF"/>
        </w:rPr>
        <w:t>s</w:t>
      </w:r>
      <w:r w:rsidR="00914814" w:rsidRPr="00921C69">
        <w:rPr>
          <w:color w:val="000000"/>
          <w:shd w:val="clear" w:color="auto" w:fill="FFFFFF"/>
        </w:rPr>
        <w:t>abilities</w:t>
      </w:r>
      <w:r w:rsidRPr="00921C69">
        <w:rPr>
          <w:color w:val="000000"/>
          <w:shd w:val="clear" w:color="auto" w:fill="FFFFFF"/>
        </w:rPr>
        <w:t xml:space="preserve"> should have access to a range of in-home and other community support services, including personal assistance which is  necessary to support living and inclusion in the community. This will prevent their isolation or segregation form the community. In Mrs A’s case this was clearly </w:t>
      </w:r>
      <w:r w:rsidR="00914814" w:rsidRPr="00921C69">
        <w:rPr>
          <w:color w:val="000000"/>
          <w:shd w:val="clear" w:color="auto" w:fill="FFFFFF"/>
        </w:rPr>
        <w:t>violated</w:t>
      </w:r>
      <w:r w:rsidRPr="00921C69">
        <w:rPr>
          <w:color w:val="000000"/>
          <w:shd w:val="clear" w:color="auto" w:fill="FFFFFF"/>
        </w:rPr>
        <w:t xml:space="preserve">, as she didn’t wanted to be admitted in the hospital hence should have had been provided with </w:t>
      </w:r>
      <w:r w:rsidR="00914814" w:rsidRPr="00921C69">
        <w:rPr>
          <w:color w:val="000000"/>
          <w:shd w:val="clear" w:color="auto" w:fill="FFFFFF"/>
        </w:rPr>
        <w:t>residential</w:t>
      </w:r>
      <w:r w:rsidRPr="00921C69">
        <w:rPr>
          <w:color w:val="000000"/>
          <w:shd w:val="clear" w:color="auto" w:fill="FFFFFF"/>
        </w:rPr>
        <w:t xml:space="preserve"> support. </w:t>
      </w:r>
    </w:p>
    <w:p w:rsidR="00BF6835" w:rsidRDefault="00BF6835" w:rsidP="00F25C51">
      <w:pPr>
        <w:pStyle w:val="NormalWeb"/>
        <w:spacing w:line="288" w:lineRule="atLeast"/>
        <w:rPr>
          <w:b/>
          <w:color w:val="000000"/>
          <w:shd w:val="clear" w:color="auto" w:fill="FFFFFF"/>
        </w:rPr>
      </w:pPr>
    </w:p>
    <w:p w:rsidR="00BF6835" w:rsidRDefault="00BF6835" w:rsidP="00F25C51">
      <w:pPr>
        <w:pStyle w:val="NormalWeb"/>
        <w:spacing w:line="288" w:lineRule="atLeast"/>
        <w:rPr>
          <w:b/>
          <w:color w:val="000000"/>
          <w:shd w:val="clear" w:color="auto" w:fill="FFFFFF"/>
        </w:rPr>
      </w:pPr>
    </w:p>
    <w:p w:rsidR="00F25C51" w:rsidRPr="00921C69" w:rsidRDefault="00F25C51" w:rsidP="00F25C51">
      <w:pPr>
        <w:pStyle w:val="NormalWeb"/>
        <w:spacing w:line="288" w:lineRule="atLeast"/>
        <w:rPr>
          <w:b/>
          <w:color w:val="000000"/>
          <w:shd w:val="clear" w:color="auto" w:fill="FFFFFF"/>
        </w:rPr>
      </w:pPr>
      <w:r w:rsidRPr="00921C69">
        <w:rPr>
          <w:b/>
          <w:color w:val="000000"/>
          <w:shd w:val="clear" w:color="auto" w:fill="FFFFFF"/>
        </w:rPr>
        <w:t>Indian Constitution and Mental Health Law:</w:t>
      </w:r>
    </w:p>
    <w:p w:rsidR="00F25C51" w:rsidRPr="00921C69" w:rsidRDefault="00F25C51" w:rsidP="00F25C51">
      <w:pPr>
        <w:pStyle w:val="NormalWeb"/>
        <w:spacing w:line="288" w:lineRule="atLeast"/>
        <w:rPr>
          <w:color w:val="000000"/>
          <w:lang w:val="en-GB"/>
        </w:rPr>
      </w:pPr>
      <w:r w:rsidRPr="00921C69">
        <w:rPr>
          <w:color w:val="000000"/>
          <w:lang w:val="en-GB"/>
        </w:rPr>
        <w:t xml:space="preserve">The draft India Mental health law protects and provide full protection for the </w:t>
      </w:r>
      <w:r w:rsidRPr="00921C69">
        <w:rPr>
          <w:bdr w:val="none" w:sz="0" w:space="0" w:color="auto" w:frame="1"/>
          <w:lang w:val="en-US"/>
        </w:rPr>
        <w:t xml:space="preserve">Legislation authorizing the institutionalization of persons with disabilities on the grounds of their disability without their free and informed consent must be abolished. This must include the repeal of provisions authorizing institutionalization of persons with disabilities for their care and treatment without their free and informed consent, as well as provisions authorizing the preventive detention of persons with disabilities on grounds such as the likelihood of them posing a danger to themselves or others, in all cases in which such grounds of care, treatment and public security are linked in legislation to an apparent or diagnosed mental illness. This should not be interpreted to say that persons with disabilities cannot be lawfully subject to detention for care and treatment or to preventive detention, but that the legal grounds upon which restriction of liberty is determined must be de-linked from the disability and neutrally defined so as to apply to all persons on an equal basis. </w:t>
      </w:r>
    </w:p>
    <w:p w:rsidR="00F25C51" w:rsidRPr="00921C69" w:rsidRDefault="00F25C51" w:rsidP="00F25C51">
      <w:pPr>
        <w:pStyle w:val="NormalWeb"/>
        <w:spacing w:line="288" w:lineRule="atLeast"/>
        <w:rPr>
          <w:color w:val="000000"/>
          <w:spacing w:val="-15"/>
          <w:bdr w:val="none" w:sz="0" w:space="0" w:color="auto" w:frame="1"/>
        </w:rPr>
      </w:pPr>
      <w:r w:rsidRPr="00921C69">
        <w:rPr>
          <w:color w:val="000000"/>
          <w:shd w:val="clear" w:color="auto" w:fill="FFFFFF"/>
        </w:rPr>
        <w:t>In the case of Mrs A, I have also tried to refer to the Constitution of India and its stand on the Liberty.</w:t>
      </w:r>
      <w:r w:rsidR="00CC2B16">
        <w:rPr>
          <w:color w:val="000000"/>
          <w:shd w:val="clear" w:color="auto" w:fill="FFFFFF"/>
        </w:rPr>
        <w:t xml:space="preserve"> </w:t>
      </w:r>
      <w:r w:rsidRPr="00921C69">
        <w:rPr>
          <w:color w:val="000000"/>
          <w:shd w:val="clear" w:color="auto" w:fill="FFFFFF"/>
        </w:rPr>
        <w:t>Under Article 21, the Constitution of India provides that no person shall be deprived of life or personal liberty except according to</w:t>
      </w:r>
      <w:r w:rsidR="00CC2B16">
        <w:rPr>
          <w:color w:val="000000"/>
          <w:shd w:val="clear" w:color="auto" w:fill="FFFFFF"/>
        </w:rPr>
        <w:t xml:space="preserve"> procedures established by law. </w:t>
      </w:r>
      <w:r w:rsidRPr="00921C69">
        <w:rPr>
          <w:color w:val="000000"/>
          <w:shd w:val="clear" w:color="auto" w:fill="FFFFFF"/>
        </w:rPr>
        <w:t>The</w:t>
      </w:r>
      <w:r w:rsidR="00CC2B16">
        <w:rPr>
          <w:color w:val="000000"/>
          <w:shd w:val="clear" w:color="auto" w:fill="FFFFFF"/>
        </w:rPr>
        <w:t xml:space="preserve"> </w:t>
      </w:r>
      <w:r w:rsidRPr="00921C69">
        <w:rPr>
          <w:color w:val="000000"/>
          <w:shd w:val="clear" w:color="auto" w:fill="FFFFFF"/>
        </w:rPr>
        <w:t xml:space="preserve">Right to Life and personal liberty under this article includes “facilities for reading, writing and expressing oneself in diverse forms, freely moving about and mixing and commingling with fellow human beings. </w:t>
      </w:r>
    </w:p>
    <w:p w:rsidR="00F25C51" w:rsidRPr="00921C69" w:rsidRDefault="00F25C51" w:rsidP="00F25C51">
      <w:pPr>
        <w:pStyle w:val="NormalWeb"/>
        <w:spacing w:line="288" w:lineRule="atLeast"/>
        <w:rPr>
          <w:color w:val="000000"/>
          <w:lang w:val="hu-HU"/>
        </w:rPr>
      </w:pPr>
      <w:r w:rsidRPr="00921C69">
        <w:rPr>
          <w:color w:val="333333"/>
          <w:shd w:val="clear" w:color="auto" w:fill="FFFFFF"/>
        </w:rPr>
        <w:t xml:space="preserve">India is a signatory to the Disability Convention. However, it has failed to bring its laws and institutions in tune with the standards set by the convention. To </w:t>
      </w:r>
      <w:r w:rsidR="00CC2B16" w:rsidRPr="00921C69">
        <w:rPr>
          <w:color w:val="333333"/>
          <w:shd w:val="clear" w:color="auto" w:fill="FFFFFF"/>
        </w:rPr>
        <w:t>fulfil</w:t>
      </w:r>
      <w:r w:rsidRPr="00921C69">
        <w:rPr>
          <w:color w:val="333333"/>
          <w:shd w:val="clear" w:color="auto" w:fill="FFFFFF"/>
        </w:rPr>
        <w:t xml:space="preserve"> its commitments under the Disability Convention, 2006 and MI principles of 1991, India needs a major overhaul of its disability laws and policies dealing with mental health care. The Ministry of Health and Family Welfare (MHFW) recently came out with the</w:t>
      </w:r>
      <w:r w:rsidRPr="00921C69">
        <w:rPr>
          <w:rStyle w:val="apple-converted-space"/>
          <w:color w:val="333333"/>
          <w:shd w:val="clear" w:color="auto" w:fill="FFFFFF"/>
        </w:rPr>
        <w:t> </w:t>
      </w:r>
      <w:r w:rsidRPr="00921C69">
        <w:rPr>
          <w:bdr w:val="none" w:sz="0" w:space="0" w:color="auto" w:frame="1"/>
          <w:shd w:val="clear" w:color="auto" w:fill="FFFFFF"/>
        </w:rPr>
        <w:t>Mental Health Care Bill 2012</w:t>
      </w:r>
      <w:r w:rsidRPr="00921C69">
        <w:rPr>
          <w:rStyle w:val="apple-converted-space"/>
          <w:color w:val="333333"/>
          <w:shd w:val="clear" w:color="auto" w:fill="FFFFFF"/>
        </w:rPr>
        <w:t> </w:t>
      </w:r>
      <w:r w:rsidRPr="00921C69">
        <w:rPr>
          <w:color w:val="333333"/>
          <w:shd w:val="clear" w:color="auto" w:fill="FFFFFF"/>
        </w:rPr>
        <w:t>responding to this formidable legislative challenge.</w:t>
      </w:r>
      <w:r w:rsidRPr="00921C69">
        <w:rPr>
          <w:rStyle w:val="apple-converted-space"/>
          <w:color w:val="333333"/>
          <w:shd w:val="clear" w:color="auto" w:fill="FFFFFF"/>
        </w:rPr>
        <w:t xml:space="preserve"> The </w:t>
      </w:r>
      <w:r w:rsidRPr="00921C69">
        <w:rPr>
          <w:color w:val="000000"/>
          <w:lang w:val="hu-HU"/>
        </w:rPr>
        <w:t xml:space="preserve">Mental health care bill’s chapter V Right to Mental Health Care states that the state should provide mental health without prejudice to the generality of the range of services under sub-section (3) and these services should include  </w:t>
      </w:r>
    </w:p>
    <w:p w:rsidR="00F25C51" w:rsidRPr="00921C69" w:rsidRDefault="00F25C51" w:rsidP="00F25C51">
      <w:pPr>
        <w:pStyle w:val="NormalWeb"/>
        <w:numPr>
          <w:ilvl w:val="0"/>
          <w:numId w:val="1"/>
        </w:numPr>
        <w:spacing w:line="288" w:lineRule="atLeast"/>
        <w:rPr>
          <w:color w:val="000000"/>
          <w:lang w:val="hu-HU"/>
        </w:rPr>
      </w:pPr>
      <w:r w:rsidRPr="00921C69">
        <w:rPr>
          <w:color w:val="000000"/>
          <w:lang w:val="hu-HU"/>
        </w:rPr>
        <w:t>Provision of acute mental health care services such as outpatient and inpatient services</w:t>
      </w:r>
    </w:p>
    <w:p w:rsidR="00F25C51" w:rsidRPr="00921C69" w:rsidRDefault="00F25C51" w:rsidP="00F25C51">
      <w:pPr>
        <w:pStyle w:val="NormalWeb"/>
        <w:numPr>
          <w:ilvl w:val="0"/>
          <w:numId w:val="1"/>
        </w:numPr>
        <w:spacing w:line="288" w:lineRule="atLeast"/>
        <w:rPr>
          <w:color w:val="000000"/>
          <w:lang w:val="hu-HU"/>
        </w:rPr>
      </w:pPr>
      <w:r w:rsidRPr="00921C69">
        <w:rPr>
          <w:color w:val="000000"/>
          <w:lang w:val="hu-HU"/>
        </w:rPr>
        <w:t>Provision for mental health services to support family of person with mental illness or home based rehabilitation</w:t>
      </w:r>
    </w:p>
    <w:p w:rsidR="00F25C51" w:rsidRPr="00921C69" w:rsidRDefault="00F25C51" w:rsidP="00F25C51">
      <w:pPr>
        <w:pStyle w:val="NormalWeb"/>
        <w:numPr>
          <w:ilvl w:val="0"/>
          <w:numId w:val="1"/>
        </w:numPr>
        <w:spacing w:line="288" w:lineRule="atLeast"/>
        <w:rPr>
          <w:color w:val="000000"/>
          <w:lang w:val="hu-HU"/>
        </w:rPr>
      </w:pPr>
      <w:r w:rsidRPr="00921C69">
        <w:rPr>
          <w:color w:val="000000"/>
          <w:lang w:val="hu-HU"/>
        </w:rPr>
        <w:t>Hospital and community based rehabilitation establishments and services</w:t>
      </w:r>
    </w:p>
    <w:p w:rsidR="00F25C51" w:rsidRPr="00921C69" w:rsidRDefault="00F25C51" w:rsidP="00F25C51">
      <w:pPr>
        <w:pStyle w:val="NormalWeb"/>
        <w:numPr>
          <w:ilvl w:val="0"/>
          <w:numId w:val="1"/>
        </w:numPr>
        <w:spacing w:line="288" w:lineRule="atLeast"/>
        <w:rPr>
          <w:color w:val="000000"/>
          <w:lang w:val="hu-HU"/>
        </w:rPr>
      </w:pPr>
      <w:r w:rsidRPr="00921C69">
        <w:rPr>
          <w:color w:val="000000"/>
          <w:lang w:val="hu-HU"/>
        </w:rPr>
        <w:t>The govt. must integrate mental health services into general health care services at all levels of health care, including primary, secondary and tertiary health care and in all health programmes run by the appropriate Government;</w:t>
      </w:r>
    </w:p>
    <w:p w:rsidR="0044496F" w:rsidRDefault="0044496F" w:rsidP="00F25C51">
      <w:pPr>
        <w:pStyle w:val="NormalWeb"/>
        <w:spacing w:line="288" w:lineRule="atLeast"/>
        <w:rPr>
          <w:color w:val="000000"/>
          <w:lang w:val="hu-HU"/>
        </w:rPr>
      </w:pPr>
    </w:p>
    <w:p w:rsidR="0044496F" w:rsidRDefault="0044496F" w:rsidP="00F25C51">
      <w:pPr>
        <w:pStyle w:val="NormalWeb"/>
        <w:spacing w:line="288" w:lineRule="atLeast"/>
        <w:rPr>
          <w:color w:val="000000"/>
          <w:lang w:val="hu-HU"/>
        </w:rPr>
      </w:pPr>
    </w:p>
    <w:p w:rsidR="0044496F" w:rsidRDefault="0044496F" w:rsidP="00F25C51">
      <w:pPr>
        <w:pStyle w:val="NormalWeb"/>
        <w:spacing w:line="288" w:lineRule="atLeast"/>
        <w:rPr>
          <w:color w:val="000000"/>
          <w:lang w:val="hu-HU"/>
        </w:rPr>
      </w:pPr>
    </w:p>
    <w:p w:rsidR="0044496F" w:rsidRDefault="0044496F" w:rsidP="00F25C51">
      <w:pPr>
        <w:pStyle w:val="NormalWeb"/>
        <w:spacing w:line="288" w:lineRule="atLeast"/>
        <w:rPr>
          <w:color w:val="000000"/>
          <w:lang w:val="hu-HU"/>
        </w:rPr>
      </w:pPr>
    </w:p>
    <w:p w:rsidR="00F25C51" w:rsidRPr="00921C69" w:rsidRDefault="00F25C51" w:rsidP="00F25C51">
      <w:pPr>
        <w:pStyle w:val="NormalWeb"/>
        <w:spacing w:line="288" w:lineRule="atLeast"/>
        <w:rPr>
          <w:color w:val="000000"/>
          <w:lang w:val="hu-HU"/>
        </w:rPr>
      </w:pPr>
      <w:r w:rsidRPr="00921C69">
        <w:rPr>
          <w:color w:val="000000"/>
          <w:lang w:val="hu-HU"/>
        </w:rPr>
        <w:t xml:space="preserve">The intention of the Bill is noble, but the ground reality is far from this. India’s National Mental Health Plan, proposed in 12 Five year Plan, emphasis upon the expansion and strengthening of the District Mental Health Programme.  The main objective of DMHP is to provide Community Mental Health Services and integration of mental health with General health services through decentralization of treatment from Specialized Mental Hospital based care to primary health care services. In reality, the most of the DMHP are not running due lack of funds, non-availability of doctors and other resources. </w:t>
      </w:r>
    </w:p>
    <w:p w:rsidR="00D628EA" w:rsidRDefault="00D628EA" w:rsidP="00F25C51">
      <w:pPr>
        <w:pStyle w:val="NormalWeb"/>
        <w:spacing w:line="288" w:lineRule="atLeast"/>
        <w:rPr>
          <w:b/>
          <w:color w:val="000000"/>
          <w:u w:val="single"/>
          <w:lang w:val="hu-HU"/>
        </w:rPr>
      </w:pPr>
    </w:p>
    <w:p w:rsidR="00F25C51" w:rsidRPr="00921C69" w:rsidRDefault="00D628EA" w:rsidP="00F25C51">
      <w:pPr>
        <w:pStyle w:val="NormalWeb"/>
        <w:spacing w:line="288" w:lineRule="atLeast"/>
        <w:rPr>
          <w:b/>
          <w:color w:val="000000"/>
          <w:u w:val="single"/>
          <w:lang w:val="hu-HU"/>
        </w:rPr>
      </w:pPr>
      <w:r w:rsidRPr="00D628EA">
        <w:rPr>
          <w:b/>
          <w:color w:val="000000"/>
          <w:lang w:val="hu-HU"/>
        </w:rPr>
        <w:t xml:space="preserve">                </w:t>
      </w:r>
      <w:r w:rsidR="00F25C51" w:rsidRPr="00921C69">
        <w:rPr>
          <w:b/>
          <w:color w:val="000000"/>
          <w:u w:val="single"/>
          <w:lang w:val="hu-HU"/>
        </w:rPr>
        <w:t>Recommendation</w:t>
      </w:r>
    </w:p>
    <w:p w:rsidR="00F25C51" w:rsidRPr="00921C69" w:rsidRDefault="00F25C51" w:rsidP="00F25C51">
      <w:pPr>
        <w:pStyle w:val="NormalWeb"/>
        <w:numPr>
          <w:ilvl w:val="0"/>
          <w:numId w:val="2"/>
        </w:numPr>
        <w:spacing w:line="288" w:lineRule="atLeast"/>
        <w:rPr>
          <w:color w:val="000000"/>
        </w:rPr>
      </w:pPr>
      <w:r w:rsidRPr="00921C69">
        <w:rPr>
          <w:color w:val="000000"/>
          <w:lang w:val="en-US"/>
        </w:rPr>
        <w:t>Create regimes of support</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Launch programmes accordingly and evaluate them in a participatory manner</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 xml:space="preserve">Introduce components of Community mobilization and Community accountability </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Seek for no-restraint policies and programmes within mental health facilities</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User empowerment</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Independent monitoring with user participation</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Medical and Non-Medical Crisis Services (Soteria, Runaway Houses)</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Seek for Trauma-informed and recovery oriented services</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 xml:space="preserve">Advocate for caregiver support group formation </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Implement community awarerness programmes</w:t>
      </w:r>
    </w:p>
    <w:p w:rsidR="00F25C51" w:rsidRPr="00921C69" w:rsidRDefault="00F25C51" w:rsidP="00F25C51">
      <w:pPr>
        <w:pStyle w:val="NormalWeb"/>
        <w:numPr>
          <w:ilvl w:val="0"/>
          <w:numId w:val="2"/>
        </w:numPr>
        <w:spacing w:line="288" w:lineRule="atLeast"/>
        <w:rPr>
          <w:color w:val="000000"/>
        </w:rPr>
      </w:pPr>
      <w:r w:rsidRPr="00921C69">
        <w:rPr>
          <w:color w:val="000000"/>
          <w:lang w:val="hu-HU"/>
        </w:rPr>
        <w:t>Integrate mental health programmes with maternal and child health programme, as women suffer more from common mental disorders</w:t>
      </w:r>
    </w:p>
    <w:p w:rsidR="00F25C51" w:rsidRPr="00921C69" w:rsidRDefault="00F25C51" w:rsidP="00F25C51">
      <w:pPr>
        <w:pStyle w:val="NormalWeb"/>
        <w:spacing w:line="288" w:lineRule="atLeast"/>
        <w:rPr>
          <w:b/>
          <w:color w:val="000000"/>
          <w:lang w:val="hu-HU"/>
        </w:rPr>
      </w:pPr>
      <w:r w:rsidRPr="00921C69">
        <w:rPr>
          <w:b/>
          <w:color w:val="000000"/>
          <w:lang w:val="hu-HU"/>
        </w:rPr>
        <w:cr/>
      </w:r>
    </w:p>
    <w:p w:rsidR="00F25C51" w:rsidRPr="00921C69" w:rsidRDefault="00F25C51" w:rsidP="00F25C51">
      <w:pPr>
        <w:pStyle w:val="NormalWeb"/>
        <w:spacing w:line="288" w:lineRule="atLeast"/>
        <w:rPr>
          <w:b/>
          <w:color w:val="000000"/>
          <w:lang w:val="hu-HU"/>
        </w:rPr>
      </w:pPr>
    </w:p>
    <w:p w:rsidR="00F25C51" w:rsidRPr="00921C69" w:rsidRDefault="00F25C51" w:rsidP="00F25C51">
      <w:pPr>
        <w:spacing w:before="100" w:beforeAutospacing="1" w:after="100" w:afterAutospacing="1" w:line="288" w:lineRule="atLeast"/>
        <w:rPr>
          <w:rFonts w:ascii="Times New Roman" w:hAnsi="Times New Roman" w:cs="Times New Roman"/>
          <w:sz w:val="24"/>
          <w:szCs w:val="24"/>
          <w:bdr w:val="none" w:sz="0" w:space="0" w:color="auto" w:frame="1"/>
          <w:lang w:eastAsia="en-IN"/>
        </w:rPr>
      </w:pPr>
    </w:p>
    <w:p w:rsidR="00F25C51" w:rsidRPr="00921C69" w:rsidRDefault="00F25C51" w:rsidP="00F25C51">
      <w:pPr>
        <w:spacing w:before="100" w:beforeAutospacing="1" w:after="100" w:afterAutospacing="1" w:line="288" w:lineRule="atLeast"/>
        <w:rPr>
          <w:rFonts w:ascii="Times New Roman" w:hAnsi="Times New Roman" w:cs="Times New Roman"/>
          <w:sz w:val="24"/>
          <w:szCs w:val="24"/>
          <w:bdr w:val="none" w:sz="0" w:space="0" w:color="auto" w:frame="1"/>
          <w:lang w:eastAsia="en-IN"/>
        </w:rPr>
      </w:pPr>
    </w:p>
    <w:p w:rsidR="00F25C51" w:rsidRDefault="00F25C51"/>
    <w:sectPr w:rsidR="00F25C51" w:rsidSect="00366274">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CF6"/>
    <w:multiLevelType w:val="hybridMultilevel"/>
    <w:tmpl w:val="4A82C6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E6212B"/>
    <w:multiLevelType w:val="hybridMultilevel"/>
    <w:tmpl w:val="3C2CB4E0"/>
    <w:lvl w:ilvl="0" w:tplc="7504A86E">
      <w:start w:val="1"/>
      <w:numFmt w:val="bullet"/>
      <w:lvlText w:val="•"/>
      <w:lvlJc w:val="left"/>
      <w:pPr>
        <w:tabs>
          <w:tab w:val="num" w:pos="720"/>
        </w:tabs>
        <w:ind w:left="720" w:hanging="360"/>
      </w:pPr>
      <w:rPr>
        <w:rFonts w:ascii="Arial" w:hAnsi="Arial" w:hint="default"/>
      </w:rPr>
    </w:lvl>
    <w:lvl w:ilvl="1" w:tplc="3434F7C6" w:tentative="1">
      <w:start w:val="1"/>
      <w:numFmt w:val="bullet"/>
      <w:lvlText w:val="•"/>
      <w:lvlJc w:val="left"/>
      <w:pPr>
        <w:tabs>
          <w:tab w:val="num" w:pos="1440"/>
        </w:tabs>
        <w:ind w:left="1440" w:hanging="360"/>
      </w:pPr>
      <w:rPr>
        <w:rFonts w:ascii="Arial" w:hAnsi="Arial" w:hint="default"/>
      </w:rPr>
    </w:lvl>
    <w:lvl w:ilvl="2" w:tplc="0E88F1EC" w:tentative="1">
      <w:start w:val="1"/>
      <w:numFmt w:val="bullet"/>
      <w:lvlText w:val="•"/>
      <w:lvlJc w:val="left"/>
      <w:pPr>
        <w:tabs>
          <w:tab w:val="num" w:pos="2160"/>
        </w:tabs>
        <w:ind w:left="2160" w:hanging="360"/>
      </w:pPr>
      <w:rPr>
        <w:rFonts w:ascii="Arial" w:hAnsi="Arial" w:hint="default"/>
      </w:rPr>
    </w:lvl>
    <w:lvl w:ilvl="3" w:tplc="7278E74A" w:tentative="1">
      <w:start w:val="1"/>
      <w:numFmt w:val="bullet"/>
      <w:lvlText w:val="•"/>
      <w:lvlJc w:val="left"/>
      <w:pPr>
        <w:tabs>
          <w:tab w:val="num" w:pos="2880"/>
        </w:tabs>
        <w:ind w:left="2880" w:hanging="360"/>
      </w:pPr>
      <w:rPr>
        <w:rFonts w:ascii="Arial" w:hAnsi="Arial" w:hint="default"/>
      </w:rPr>
    </w:lvl>
    <w:lvl w:ilvl="4" w:tplc="A07C3A44" w:tentative="1">
      <w:start w:val="1"/>
      <w:numFmt w:val="bullet"/>
      <w:lvlText w:val="•"/>
      <w:lvlJc w:val="left"/>
      <w:pPr>
        <w:tabs>
          <w:tab w:val="num" w:pos="3600"/>
        </w:tabs>
        <w:ind w:left="3600" w:hanging="360"/>
      </w:pPr>
      <w:rPr>
        <w:rFonts w:ascii="Arial" w:hAnsi="Arial" w:hint="default"/>
      </w:rPr>
    </w:lvl>
    <w:lvl w:ilvl="5" w:tplc="C8F2677A" w:tentative="1">
      <w:start w:val="1"/>
      <w:numFmt w:val="bullet"/>
      <w:lvlText w:val="•"/>
      <w:lvlJc w:val="left"/>
      <w:pPr>
        <w:tabs>
          <w:tab w:val="num" w:pos="4320"/>
        </w:tabs>
        <w:ind w:left="4320" w:hanging="360"/>
      </w:pPr>
      <w:rPr>
        <w:rFonts w:ascii="Arial" w:hAnsi="Arial" w:hint="default"/>
      </w:rPr>
    </w:lvl>
    <w:lvl w:ilvl="6" w:tplc="1C764216" w:tentative="1">
      <w:start w:val="1"/>
      <w:numFmt w:val="bullet"/>
      <w:lvlText w:val="•"/>
      <w:lvlJc w:val="left"/>
      <w:pPr>
        <w:tabs>
          <w:tab w:val="num" w:pos="5040"/>
        </w:tabs>
        <w:ind w:left="5040" w:hanging="360"/>
      </w:pPr>
      <w:rPr>
        <w:rFonts w:ascii="Arial" w:hAnsi="Arial" w:hint="default"/>
      </w:rPr>
    </w:lvl>
    <w:lvl w:ilvl="7" w:tplc="D892D802" w:tentative="1">
      <w:start w:val="1"/>
      <w:numFmt w:val="bullet"/>
      <w:lvlText w:val="•"/>
      <w:lvlJc w:val="left"/>
      <w:pPr>
        <w:tabs>
          <w:tab w:val="num" w:pos="5760"/>
        </w:tabs>
        <w:ind w:left="5760" w:hanging="360"/>
      </w:pPr>
      <w:rPr>
        <w:rFonts w:ascii="Arial" w:hAnsi="Arial" w:hint="default"/>
      </w:rPr>
    </w:lvl>
    <w:lvl w:ilvl="8" w:tplc="8078EB1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F25C51"/>
    <w:rsid w:val="0000428A"/>
    <w:rsid w:val="00121CDE"/>
    <w:rsid w:val="001568F7"/>
    <w:rsid w:val="00165505"/>
    <w:rsid w:val="0044496F"/>
    <w:rsid w:val="005D0FFA"/>
    <w:rsid w:val="00675EAD"/>
    <w:rsid w:val="006A0EE0"/>
    <w:rsid w:val="00734B97"/>
    <w:rsid w:val="00845B0A"/>
    <w:rsid w:val="00914814"/>
    <w:rsid w:val="00950029"/>
    <w:rsid w:val="009E536B"/>
    <w:rsid w:val="00A902BC"/>
    <w:rsid w:val="00B80AD9"/>
    <w:rsid w:val="00BF6835"/>
    <w:rsid w:val="00CC2B16"/>
    <w:rsid w:val="00D628EA"/>
    <w:rsid w:val="00D96102"/>
    <w:rsid w:val="00E63550"/>
    <w:rsid w:val="00F25C51"/>
    <w:rsid w:val="00FC3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5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C5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F25C5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25C51"/>
  </w:style>
  <w:style w:type="paragraph" w:styleId="NoSpacing">
    <w:name w:val="No Spacing"/>
    <w:uiPriority w:val="1"/>
    <w:qFormat/>
    <w:rsid w:val="00F25C51"/>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2015-03-11T13:26:00Z</dcterms:created>
  <dcterms:modified xsi:type="dcterms:W3CDTF">2015-03-18T03:23:00Z</dcterms:modified>
</cp:coreProperties>
</file>