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ED" w:rsidRDefault="00A44CED" w:rsidP="008201DA">
      <w:pPr>
        <w:autoSpaceDE w:val="0"/>
        <w:autoSpaceDN w:val="0"/>
        <w:adjustRightInd w:val="0"/>
        <w:spacing w:after="0" w:line="240" w:lineRule="auto"/>
        <w:rPr>
          <w:rFonts w:ascii="DejaVuSans" w:hAnsi="DejaVuSans" w:cs="DejaVuSans"/>
          <w:b/>
          <w:bCs/>
          <w:sz w:val="28"/>
          <w:szCs w:val="28"/>
          <w:u w:val="single"/>
        </w:rPr>
      </w:pPr>
      <w:r w:rsidRPr="00A44CED">
        <w:rPr>
          <w:rFonts w:ascii="DejaVuSans" w:hAnsi="DejaVuSans" w:cs="DejaVuSans"/>
          <w:b/>
          <w:bCs/>
          <w:sz w:val="28"/>
          <w:szCs w:val="28"/>
          <w:u w:val="single"/>
        </w:rPr>
        <w:t xml:space="preserve">A- Objectives: </w:t>
      </w:r>
    </w:p>
    <w:p w:rsidR="00A44CED" w:rsidRDefault="00A44CED" w:rsidP="008201DA">
      <w:pPr>
        <w:autoSpaceDE w:val="0"/>
        <w:autoSpaceDN w:val="0"/>
        <w:adjustRightInd w:val="0"/>
        <w:spacing w:after="0" w:line="240" w:lineRule="auto"/>
        <w:rPr>
          <w:rFonts w:ascii="DejaVuSans" w:hAnsi="DejaVuSans" w:cs="DejaVuSans"/>
          <w:b/>
          <w:bCs/>
          <w:sz w:val="28"/>
          <w:szCs w:val="28"/>
          <w:u w:val="single"/>
        </w:rPr>
      </w:pPr>
    </w:p>
    <w:p w:rsidR="00A44CED" w:rsidRDefault="00272491" w:rsidP="00F637FA">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 xml:space="preserve">A- </w:t>
      </w:r>
      <w:r w:rsidR="00F637FA">
        <w:rPr>
          <w:rFonts w:ascii="DejaVuSans" w:hAnsi="DejaVuSans" w:cs="DejaVuSans"/>
          <w:sz w:val="24"/>
          <w:szCs w:val="24"/>
        </w:rPr>
        <w:t>Providing</w:t>
      </w:r>
      <w:r>
        <w:rPr>
          <w:rFonts w:ascii="DejaVuSans" w:hAnsi="DejaVuSans" w:cs="DejaVuSans"/>
          <w:sz w:val="24"/>
          <w:szCs w:val="24"/>
        </w:rPr>
        <w:t xml:space="preserve"> </w:t>
      </w:r>
      <w:r w:rsidR="00F637FA">
        <w:rPr>
          <w:rFonts w:ascii="DejaVuSans" w:hAnsi="DejaVuSans" w:cs="DejaVuSans"/>
          <w:sz w:val="24"/>
          <w:szCs w:val="24"/>
        </w:rPr>
        <w:t xml:space="preserve">the highest attainable standard of mental health, including accessible, acceptable, and appropriate and good quality mental health services, provided by trained professionals. </w:t>
      </w:r>
    </w:p>
    <w:p w:rsidR="00A44CED" w:rsidRDefault="00272491" w:rsidP="00F637FA">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B</w:t>
      </w:r>
      <w:r w:rsidR="00A44CED">
        <w:rPr>
          <w:rFonts w:ascii="DejaVuSans" w:hAnsi="DejaVuSans" w:cs="DejaVuSans"/>
          <w:sz w:val="24"/>
          <w:szCs w:val="24"/>
        </w:rPr>
        <w:t>-</w:t>
      </w:r>
      <w:r w:rsidR="00F637FA" w:rsidRPr="00F637FA">
        <w:rPr>
          <w:rFonts w:ascii="DejaVuSans" w:hAnsi="DejaVuSans" w:cs="DejaVuSans"/>
          <w:sz w:val="24"/>
          <w:szCs w:val="24"/>
        </w:rPr>
        <w:t>The period of imprisonment is used to ensure, so far as possible, that upon his return to society the offender is not only willing but able to lead a law-abiding and self-supporting life.</w:t>
      </w:r>
    </w:p>
    <w:p w:rsidR="00F637FA" w:rsidRPr="00493815" w:rsidRDefault="00725558" w:rsidP="00493815">
      <w:pPr>
        <w:autoSpaceDE w:val="0"/>
        <w:autoSpaceDN w:val="0"/>
        <w:adjustRightInd w:val="0"/>
        <w:spacing w:after="0" w:line="240" w:lineRule="auto"/>
        <w:rPr>
          <w:rFonts w:ascii="TTE12D0EC0t00" w:hAnsi="TTE12D0EC0t00" w:cs="TTE12D0EC0t00"/>
          <w:sz w:val="24"/>
          <w:szCs w:val="24"/>
        </w:rPr>
      </w:pPr>
      <w:r w:rsidRPr="00725558">
        <w:rPr>
          <w:rFonts w:ascii="DejaVuSans" w:hAnsi="DejaVuSans" w:cs="DejaVuSans"/>
          <w:sz w:val="24"/>
          <w:szCs w:val="24"/>
        </w:rPr>
        <w:t>C-</w:t>
      </w:r>
      <w:r w:rsidR="00F637FA">
        <w:rPr>
          <w:rFonts w:ascii="DejaVuSans" w:hAnsi="DejaVuSans" w:cs="DejaVuSans"/>
          <w:sz w:val="24"/>
          <w:szCs w:val="24"/>
        </w:rPr>
        <w:t xml:space="preserve">Prisoners should, as far as possible, have access to mental health services in general hospitals as well as in primary health care and community based services </w:t>
      </w:r>
      <w:r w:rsidR="00493815">
        <w:rPr>
          <w:rFonts w:ascii="DejaVuSans" w:hAnsi="DejaVuSans" w:cs="DejaVuSans"/>
          <w:sz w:val="24"/>
          <w:szCs w:val="24"/>
        </w:rPr>
        <w:t>where appropriate (</w:t>
      </w:r>
      <w:r w:rsidR="00493815">
        <w:rPr>
          <w:rFonts w:ascii="TTE12D0EC0t00" w:hAnsi="TTE12D0EC0t00" w:cs="TTE12D0EC0t00"/>
          <w:sz w:val="24"/>
          <w:szCs w:val="24"/>
        </w:rPr>
        <w:t>The building of separate psychiatric prison hospitals in particular is not cost-effective, because they are very expensive to run, they have a limited capacity, are associated with low release rates, and they often leave the individual with a severe and persistent stigma. Many operate outside of the health departments responsible for controlling the quality of health interventions. Furthermore, there is no evidence that these expensive hospitals improve treatment outcomes. Rather, these hospitals can put prisoners at risk of human rights violations).</w:t>
      </w:r>
    </w:p>
    <w:p w:rsidR="00F637FA" w:rsidRPr="00F637FA" w:rsidRDefault="00F637FA" w:rsidP="00F637FA">
      <w:pPr>
        <w:autoSpaceDE w:val="0"/>
        <w:autoSpaceDN w:val="0"/>
        <w:adjustRightInd w:val="0"/>
        <w:spacing w:after="0" w:line="240" w:lineRule="auto"/>
        <w:rPr>
          <w:rFonts w:ascii="DejaVuSans" w:hAnsi="DejaVuSans" w:cs="DejaVuSans"/>
          <w:sz w:val="20"/>
          <w:szCs w:val="20"/>
        </w:rPr>
      </w:pPr>
    </w:p>
    <w:p w:rsidR="00A44CED" w:rsidRDefault="00A44CED" w:rsidP="008201DA">
      <w:pPr>
        <w:autoSpaceDE w:val="0"/>
        <w:autoSpaceDN w:val="0"/>
        <w:adjustRightInd w:val="0"/>
        <w:spacing w:after="0" w:line="240" w:lineRule="auto"/>
        <w:rPr>
          <w:rFonts w:ascii="DejaVuSans" w:hAnsi="DejaVuSans" w:cs="DejaVuSans"/>
          <w:b/>
          <w:bCs/>
          <w:sz w:val="28"/>
          <w:szCs w:val="28"/>
          <w:u w:val="single"/>
        </w:rPr>
      </w:pPr>
      <w:r>
        <w:rPr>
          <w:rFonts w:ascii="DejaVuSans" w:hAnsi="DejaVuSans" w:cs="DejaVuSans"/>
          <w:b/>
          <w:bCs/>
          <w:sz w:val="28"/>
          <w:szCs w:val="28"/>
          <w:u w:val="single"/>
        </w:rPr>
        <w:t>B- strategies:</w:t>
      </w:r>
    </w:p>
    <w:p w:rsidR="00656807" w:rsidRPr="00656807" w:rsidRDefault="00656807" w:rsidP="008201DA">
      <w:pPr>
        <w:autoSpaceDE w:val="0"/>
        <w:autoSpaceDN w:val="0"/>
        <w:adjustRightInd w:val="0"/>
        <w:spacing w:after="0" w:line="240" w:lineRule="auto"/>
        <w:rPr>
          <w:rFonts w:ascii="DejaVuSans" w:hAnsi="DejaVuSans" w:cs="DejaVuSans"/>
          <w:sz w:val="24"/>
          <w:szCs w:val="24"/>
        </w:rPr>
      </w:pPr>
    </w:p>
    <w:p w:rsidR="00DE2B31" w:rsidRPr="005520AC" w:rsidRDefault="00656807" w:rsidP="005520AC">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 xml:space="preserve">1- Managing mental health problems of the Prisoners that they had when they entered prison </w:t>
      </w:r>
      <w:r w:rsidR="005520AC">
        <w:rPr>
          <w:rFonts w:ascii="DejaVuSans" w:hAnsi="DejaVuSans" w:cs="DejaVuSans"/>
          <w:sz w:val="24"/>
          <w:szCs w:val="24"/>
        </w:rPr>
        <w:t>(</w:t>
      </w:r>
      <w:r w:rsidR="005520AC" w:rsidRPr="005520AC">
        <w:rPr>
          <w:rFonts w:ascii="DejaVuSans" w:hAnsi="DejaVuSans" w:cs="DejaVuSans"/>
          <w:sz w:val="24"/>
          <w:szCs w:val="24"/>
        </w:rPr>
        <w:t>Prisoners may have feelings of guilt or sha</w:t>
      </w:r>
      <w:r w:rsidR="005520AC">
        <w:rPr>
          <w:rFonts w:ascii="DejaVuSans" w:hAnsi="DejaVuSans" w:cs="DejaVuSans"/>
          <w:sz w:val="24"/>
          <w:szCs w:val="24"/>
        </w:rPr>
        <w:t xml:space="preserve">me about the offences they have </w:t>
      </w:r>
      <w:r w:rsidR="005520AC" w:rsidRPr="005520AC">
        <w:rPr>
          <w:rFonts w:ascii="DejaVuSans" w:hAnsi="DejaVuSans" w:cs="DejaVuSans"/>
          <w:sz w:val="24"/>
          <w:szCs w:val="24"/>
        </w:rPr>
        <w:t>committed, the</w:t>
      </w:r>
      <w:r w:rsidR="005520AC">
        <w:rPr>
          <w:rFonts w:ascii="DejaVuSans" w:hAnsi="DejaVuSans" w:cs="DejaVuSans"/>
          <w:sz w:val="24"/>
          <w:szCs w:val="24"/>
        </w:rPr>
        <w:t xml:space="preserve"> </w:t>
      </w:r>
      <w:r w:rsidR="005520AC" w:rsidRPr="005520AC">
        <w:rPr>
          <w:rFonts w:ascii="DejaVuSans" w:hAnsi="DejaVuSans" w:cs="DejaVuSans"/>
          <w:sz w:val="24"/>
          <w:szCs w:val="24"/>
        </w:rPr>
        <w:t xml:space="preserve">fact that they have been imprisoned and the effects of their </w:t>
      </w:r>
      <w:proofErr w:type="spellStart"/>
      <w:r w:rsidR="005520AC" w:rsidRPr="005520AC">
        <w:rPr>
          <w:rFonts w:ascii="DejaVuSans" w:hAnsi="DejaVuSans" w:cs="DejaVuSans"/>
          <w:sz w:val="24"/>
          <w:szCs w:val="24"/>
        </w:rPr>
        <w:t>behaviour</w:t>
      </w:r>
      <w:proofErr w:type="spellEnd"/>
      <w:r w:rsidR="005520AC" w:rsidRPr="005520AC">
        <w:rPr>
          <w:rFonts w:ascii="DejaVuSans" w:hAnsi="DejaVuSans" w:cs="DejaVuSans"/>
          <w:sz w:val="24"/>
          <w:szCs w:val="24"/>
        </w:rPr>
        <w:t xml:space="preserve"> on other people, including</w:t>
      </w:r>
      <w:r w:rsidR="005520AC">
        <w:rPr>
          <w:rFonts w:ascii="DejaVuSans" w:hAnsi="DejaVuSans" w:cs="DejaVuSans"/>
          <w:sz w:val="24"/>
          <w:szCs w:val="24"/>
        </w:rPr>
        <w:t xml:space="preserve"> </w:t>
      </w:r>
      <w:r w:rsidR="005520AC" w:rsidRPr="005520AC">
        <w:rPr>
          <w:rFonts w:ascii="DejaVuSans" w:hAnsi="DejaVuSans" w:cs="DejaVuSans"/>
          <w:sz w:val="24"/>
          <w:szCs w:val="24"/>
        </w:rPr>
        <w:t>their families and friends, coupled with anxiety about how much of their former lives will remain</w:t>
      </w:r>
      <w:r w:rsidR="005520AC">
        <w:rPr>
          <w:rFonts w:ascii="DejaVuSans" w:hAnsi="DejaVuSans" w:cs="DejaVuSans"/>
          <w:sz w:val="24"/>
          <w:szCs w:val="24"/>
        </w:rPr>
        <w:t xml:space="preserve"> </w:t>
      </w:r>
      <w:r w:rsidR="005520AC" w:rsidRPr="005520AC">
        <w:rPr>
          <w:rFonts w:ascii="DejaVuSans" w:hAnsi="DejaVuSans" w:cs="DejaVuSans"/>
          <w:sz w:val="24"/>
          <w:szCs w:val="24"/>
        </w:rPr>
        <w:t>intact after release. Prisoners seeking asylum or awaiting removal to another country face</w:t>
      </w:r>
      <w:r w:rsidR="005520AC">
        <w:rPr>
          <w:rFonts w:ascii="DejaVuSans" w:hAnsi="DejaVuSans" w:cs="DejaVuSans"/>
          <w:sz w:val="24"/>
          <w:szCs w:val="24"/>
        </w:rPr>
        <w:t xml:space="preserve"> </w:t>
      </w:r>
      <w:r w:rsidR="005520AC" w:rsidRPr="005520AC">
        <w:rPr>
          <w:rFonts w:ascii="DejaVuSans" w:hAnsi="DejaVuSans" w:cs="DejaVuSans"/>
          <w:sz w:val="24"/>
          <w:szCs w:val="24"/>
        </w:rPr>
        <w:t>additional anxieties and may feel particularly isolated. These factors, while they may be regarded</w:t>
      </w:r>
      <w:r w:rsidR="005520AC">
        <w:rPr>
          <w:rFonts w:ascii="DejaVuSans" w:hAnsi="DejaVuSans" w:cs="DejaVuSans"/>
          <w:sz w:val="24"/>
          <w:szCs w:val="24"/>
        </w:rPr>
        <w:t xml:space="preserve"> </w:t>
      </w:r>
      <w:r w:rsidR="005520AC" w:rsidRPr="005520AC">
        <w:rPr>
          <w:rFonts w:ascii="DejaVuSans" w:hAnsi="DejaVuSans" w:cs="DejaVuSans"/>
          <w:sz w:val="24"/>
          <w:szCs w:val="24"/>
        </w:rPr>
        <w:t>as inevitable consequences of imprisonment, would in themselves be sufficient to have adverse</w:t>
      </w:r>
      <w:r w:rsidR="005520AC">
        <w:rPr>
          <w:rFonts w:ascii="DejaVuSans" w:hAnsi="DejaVuSans" w:cs="DejaVuSans"/>
          <w:sz w:val="24"/>
          <w:szCs w:val="24"/>
        </w:rPr>
        <w:t xml:space="preserve"> </w:t>
      </w:r>
      <w:r w:rsidR="005520AC" w:rsidRPr="005520AC">
        <w:rPr>
          <w:rFonts w:ascii="DejaVuSans" w:hAnsi="DejaVuSans" w:cs="DejaVuSans"/>
          <w:sz w:val="24"/>
          <w:szCs w:val="24"/>
        </w:rPr>
        <w:t>effects on t</w:t>
      </w:r>
      <w:r w:rsidR="005520AC">
        <w:rPr>
          <w:rFonts w:ascii="DejaVuSans" w:hAnsi="DejaVuSans" w:cs="DejaVuSans"/>
          <w:sz w:val="24"/>
          <w:szCs w:val="24"/>
        </w:rPr>
        <w:t>he mental health of many people).</w:t>
      </w:r>
    </w:p>
    <w:p w:rsidR="00656807" w:rsidRDefault="00656807" w:rsidP="00656807">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2- Managing mental health problems of the Prisoners that they developed following incarceration</w:t>
      </w:r>
    </w:p>
    <w:p w:rsidR="00656807" w:rsidRDefault="00656807" w:rsidP="00656807">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3- Managing mental health problems of the Prisoners that were e</w:t>
      </w:r>
      <w:r w:rsidR="004331AB">
        <w:rPr>
          <w:rFonts w:ascii="DejaVuSans" w:hAnsi="DejaVuSans" w:cs="DejaVuSans"/>
          <w:sz w:val="24"/>
          <w:szCs w:val="24"/>
        </w:rPr>
        <w:t>xacerbated during incarceration like:</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Overcrowding</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Dirty and depressing environments</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Aggression and violence (physical, verbal, racial, sexual)</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Enforced solitude or, conversely, lack of privacy and time for relaxation/reflection</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Lack of meaningful activity</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Availability of illicit drugs</w:t>
      </w:r>
    </w:p>
    <w:p w:rsidR="004331AB"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Inadequate health services, especially mental health services</w:t>
      </w:r>
    </w:p>
    <w:p w:rsidR="004331AB" w:rsidRPr="00656807" w:rsidRDefault="004331AB" w:rsidP="004331AB">
      <w:pPr>
        <w:autoSpaceDE w:val="0"/>
        <w:autoSpaceDN w:val="0"/>
        <w:adjustRightInd w:val="0"/>
        <w:spacing w:after="0" w:line="240" w:lineRule="auto"/>
        <w:rPr>
          <w:rFonts w:ascii="DejaVuSans" w:hAnsi="DejaVuSans" w:cs="DejaVuSans"/>
          <w:sz w:val="24"/>
          <w:szCs w:val="24"/>
        </w:rPr>
      </w:pPr>
      <w:r>
        <w:rPr>
          <w:rFonts w:ascii="Symbol" w:hAnsi="Symbol" w:cs="Symbol"/>
          <w:sz w:val="24"/>
          <w:szCs w:val="24"/>
        </w:rPr>
        <w:t></w:t>
      </w:r>
      <w:r>
        <w:rPr>
          <w:rFonts w:ascii="Symbol" w:hAnsi="Symbol" w:cs="Symbol"/>
          <w:sz w:val="24"/>
          <w:szCs w:val="24"/>
        </w:rPr>
        <w:t></w:t>
      </w:r>
      <w:r>
        <w:rPr>
          <w:rFonts w:ascii="DejaVuSans" w:hAnsi="DejaVuSans" w:cs="DejaVuSans"/>
          <w:sz w:val="24"/>
          <w:szCs w:val="24"/>
        </w:rPr>
        <w:t>Lack of access to regular physical exercise</w:t>
      </w:r>
    </w:p>
    <w:p w:rsidR="00656807" w:rsidRDefault="00656807" w:rsidP="00656807">
      <w:pPr>
        <w:autoSpaceDE w:val="0"/>
        <w:autoSpaceDN w:val="0"/>
        <w:adjustRightInd w:val="0"/>
        <w:spacing w:after="0" w:line="240" w:lineRule="auto"/>
        <w:rPr>
          <w:rFonts w:ascii="DejaVuSans" w:hAnsi="DejaVuSans" w:cs="DejaVuSans"/>
          <w:sz w:val="24"/>
          <w:szCs w:val="24"/>
        </w:rPr>
      </w:pPr>
    </w:p>
    <w:p w:rsidR="00AA2351" w:rsidRDefault="00AA2351" w:rsidP="00656807">
      <w:pPr>
        <w:autoSpaceDE w:val="0"/>
        <w:autoSpaceDN w:val="0"/>
        <w:adjustRightInd w:val="0"/>
        <w:spacing w:after="0" w:line="240" w:lineRule="auto"/>
        <w:rPr>
          <w:rFonts w:ascii="DejaVuSans" w:hAnsi="DejaVuSans" w:cs="DejaVuSans"/>
          <w:b/>
          <w:bCs/>
          <w:sz w:val="28"/>
          <w:szCs w:val="28"/>
          <w:u w:val="single"/>
        </w:rPr>
      </w:pPr>
    </w:p>
    <w:p w:rsidR="00AA2351" w:rsidRDefault="00AA2351" w:rsidP="00656807">
      <w:pPr>
        <w:autoSpaceDE w:val="0"/>
        <w:autoSpaceDN w:val="0"/>
        <w:adjustRightInd w:val="0"/>
        <w:spacing w:after="0" w:line="240" w:lineRule="auto"/>
        <w:rPr>
          <w:rFonts w:ascii="DejaVuSans" w:hAnsi="DejaVuSans" w:cs="DejaVuSans"/>
          <w:b/>
          <w:bCs/>
          <w:sz w:val="28"/>
          <w:szCs w:val="28"/>
          <w:u w:val="single"/>
        </w:rPr>
      </w:pPr>
    </w:p>
    <w:p w:rsidR="00AA2351" w:rsidRDefault="00AA2351" w:rsidP="00656807">
      <w:pPr>
        <w:autoSpaceDE w:val="0"/>
        <w:autoSpaceDN w:val="0"/>
        <w:adjustRightInd w:val="0"/>
        <w:spacing w:after="0" w:line="240" w:lineRule="auto"/>
        <w:rPr>
          <w:rFonts w:ascii="DejaVuSans" w:hAnsi="DejaVuSans" w:cs="DejaVuSans"/>
          <w:b/>
          <w:bCs/>
          <w:sz w:val="28"/>
          <w:szCs w:val="28"/>
          <w:u w:val="single"/>
        </w:rPr>
      </w:pPr>
    </w:p>
    <w:p w:rsidR="002205A6" w:rsidRDefault="00B165B1" w:rsidP="00656807">
      <w:pPr>
        <w:autoSpaceDE w:val="0"/>
        <w:autoSpaceDN w:val="0"/>
        <w:adjustRightInd w:val="0"/>
        <w:spacing w:after="0" w:line="240" w:lineRule="auto"/>
        <w:rPr>
          <w:rFonts w:ascii="DejaVuSans" w:hAnsi="DejaVuSans" w:cs="DejaVuSans"/>
          <w:b/>
          <w:bCs/>
          <w:sz w:val="28"/>
          <w:szCs w:val="28"/>
          <w:u w:val="single"/>
        </w:rPr>
      </w:pPr>
      <w:r w:rsidRPr="00B165B1">
        <w:rPr>
          <w:rFonts w:ascii="DejaVuSans" w:hAnsi="DejaVuSans" w:cs="DejaVuSans"/>
          <w:b/>
          <w:bCs/>
          <w:sz w:val="28"/>
          <w:szCs w:val="28"/>
          <w:u w:val="single"/>
        </w:rPr>
        <w:lastRenderedPageBreak/>
        <w:t>C-</w:t>
      </w:r>
      <w:r w:rsidR="002205A6">
        <w:rPr>
          <w:rFonts w:ascii="DejaVuSans" w:hAnsi="DejaVuSans" w:cs="DejaVuSans"/>
          <w:b/>
          <w:bCs/>
          <w:sz w:val="28"/>
          <w:szCs w:val="28"/>
          <w:u w:val="single"/>
        </w:rPr>
        <w:t xml:space="preserve"> </w:t>
      </w:r>
      <w:r w:rsidR="00656807">
        <w:rPr>
          <w:rFonts w:ascii="DejaVuSans" w:hAnsi="DejaVuSans" w:cs="DejaVuSans"/>
          <w:b/>
          <w:bCs/>
          <w:sz w:val="28"/>
          <w:szCs w:val="28"/>
          <w:u w:val="single"/>
        </w:rPr>
        <w:t>Plans and steps</w:t>
      </w:r>
      <w:r w:rsidR="002205A6">
        <w:rPr>
          <w:rFonts w:ascii="DejaVuSans" w:hAnsi="DejaVuSans" w:cs="DejaVuSans"/>
          <w:b/>
          <w:bCs/>
          <w:sz w:val="28"/>
          <w:szCs w:val="28"/>
          <w:u w:val="single"/>
        </w:rPr>
        <w:t>:</w:t>
      </w:r>
    </w:p>
    <w:p w:rsidR="00A44CED" w:rsidRPr="00A44CED" w:rsidRDefault="00A44CED" w:rsidP="008201DA">
      <w:pPr>
        <w:autoSpaceDE w:val="0"/>
        <w:autoSpaceDN w:val="0"/>
        <w:adjustRightInd w:val="0"/>
        <w:spacing w:after="0" w:line="240" w:lineRule="auto"/>
        <w:rPr>
          <w:rFonts w:ascii="DejaVuSans" w:hAnsi="DejaVuSans" w:cs="DejaVuSans"/>
          <w:b/>
          <w:bCs/>
          <w:sz w:val="28"/>
          <w:szCs w:val="28"/>
          <w:u w:val="single"/>
        </w:rPr>
      </w:pPr>
    </w:p>
    <w:p w:rsidR="00272491" w:rsidRPr="00272491" w:rsidRDefault="008201DA" w:rsidP="00272491">
      <w:pPr>
        <w:autoSpaceDE w:val="0"/>
        <w:autoSpaceDN w:val="0"/>
        <w:adjustRightInd w:val="0"/>
        <w:spacing w:after="0" w:line="240" w:lineRule="auto"/>
        <w:rPr>
          <w:rFonts w:ascii="TTE1054310t00" w:hAnsi="TTE1054310t00" w:cs="TTE1054310t00"/>
          <w:sz w:val="24"/>
          <w:szCs w:val="24"/>
        </w:rPr>
      </w:pPr>
      <w:r>
        <w:rPr>
          <w:rFonts w:ascii="DejaVuSans" w:hAnsi="DejaVuSans" w:cs="DejaVuSans"/>
          <w:sz w:val="24"/>
          <w:szCs w:val="24"/>
        </w:rPr>
        <w:t xml:space="preserve">1- </w:t>
      </w:r>
      <w:r w:rsidR="00272491">
        <w:rPr>
          <w:rFonts w:ascii="TTE1054310t00" w:hAnsi="TTE1054310t00" w:cs="TTE1054310t00"/>
          <w:sz w:val="24"/>
          <w:szCs w:val="24"/>
        </w:rPr>
        <w:t xml:space="preserve">Promote high standards in prison management. </w:t>
      </w:r>
      <w:r w:rsidR="00272491">
        <w:rPr>
          <w:rFonts w:ascii="TTE12D0EC0t00" w:hAnsi="TTE12D0EC0t00" w:cs="TTE12D0EC0t00"/>
          <w:sz w:val="24"/>
          <w:szCs w:val="24"/>
        </w:rPr>
        <w:t>The mental health of all prisoners, including those with mental disorders, will be</w:t>
      </w:r>
      <w:r w:rsidR="00272491">
        <w:rPr>
          <w:rFonts w:ascii="TTE1054310t00" w:hAnsi="TTE1054310t00" w:cs="TTE1054310t00"/>
          <w:sz w:val="24"/>
          <w:szCs w:val="24"/>
        </w:rPr>
        <w:t xml:space="preserve"> </w:t>
      </w:r>
      <w:r w:rsidR="00272491">
        <w:rPr>
          <w:rFonts w:ascii="TTE12D0EC0t00" w:hAnsi="TTE12D0EC0t00" w:cs="TTE12D0EC0t00"/>
          <w:sz w:val="24"/>
          <w:szCs w:val="24"/>
        </w:rPr>
        <w:t>enhanced by appropriate prison management that promotes and protects human rights.</w:t>
      </w:r>
      <w:r w:rsidR="00272491">
        <w:rPr>
          <w:rFonts w:ascii="TTE1054310t00" w:hAnsi="TTE1054310t00" w:cs="TTE1054310t00"/>
          <w:sz w:val="24"/>
          <w:szCs w:val="24"/>
        </w:rPr>
        <w:t xml:space="preserve"> </w:t>
      </w:r>
      <w:r w:rsidR="00272491">
        <w:rPr>
          <w:rFonts w:ascii="TTE12D0EC0t00" w:hAnsi="TTE12D0EC0t00" w:cs="TTE12D0EC0t00"/>
          <w:sz w:val="24"/>
          <w:szCs w:val="24"/>
        </w:rPr>
        <w:t xml:space="preserve">Attention to areas such as sanitation, food, meaningful occupation, </w:t>
      </w:r>
      <w:proofErr w:type="gramStart"/>
      <w:r w:rsidR="00272491">
        <w:rPr>
          <w:rFonts w:ascii="TTE12D0EC0t00" w:hAnsi="TTE12D0EC0t00" w:cs="TTE12D0EC0t00"/>
          <w:sz w:val="24"/>
          <w:szCs w:val="24"/>
        </w:rPr>
        <w:t>physical</w:t>
      </w:r>
      <w:proofErr w:type="gramEnd"/>
      <w:r w:rsidR="00272491">
        <w:rPr>
          <w:rFonts w:ascii="TTE12D0EC0t00" w:hAnsi="TTE12D0EC0t00" w:cs="TTE12D0EC0t00"/>
          <w:sz w:val="24"/>
          <w:szCs w:val="24"/>
        </w:rPr>
        <w:t xml:space="preserve"> activity,</w:t>
      </w:r>
      <w:r w:rsidR="00272491">
        <w:rPr>
          <w:rFonts w:ascii="TTE1054310t00" w:hAnsi="TTE1054310t00" w:cs="TTE1054310t00"/>
          <w:sz w:val="24"/>
          <w:szCs w:val="24"/>
        </w:rPr>
        <w:t xml:space="preserve"> </w:t>
      </w:r>
      <w:r w:rsidR="00272491">
        <w:rPr>
          <w:rFonts w:ascii="TTE12D0EC0t00" w:hAnsi="TTE12D0EC0t00" w:cs="TTE12D0EC0t00"/>
          <w:sz w:val="24"/>
          <w:szCs w:val="24"/>
        </w:rPr>
        <w:t>prevention of discrimination and violence, and promotion of social networks are</w:t>
      </w:r>
      <w:r w:rsidR="00272491">
        <w:rPr>
          <w:rFonts w:ascii="TTE1054310t00" w:hAnsi="TTE1054310t00" w:cs="TTE1054310t00"/>
          <w:sz w:val="24"/>
          <w:szCs w:val="24"/>
        </w:rPr>
        <w:t xml:space="preserve"> </w:t>
      </w:r>
      <w:r w:rsidR="00272491">
        <w:rPr>
          <w:rFonts w:ascii="TTE12D0EC0t00" w:hAnsi="TTE12D0EC0t00" w:cs="TTE12D0EC0t00"/>
          <w:sz w:val="24"/>
          <w:szCs w:val="24"/>
        </w:rPr>
        <w:t>essential.</w:t>
      </w:r>
    </w:p>
    <w:p w:rsidR="00725558" w:rsidRDefault="00272491" w:rsidP="00725558">
      <w:pPr>
        <w:autoSpaceDE w:val="0"/>
        <w:autoSpaceDN w:val="0"/>
        <w:adjustRightInd w:val="0"/>
        <w:spacing w:after="0" w:line="240" w:lineRule="auto"/>
        <w:rPr>
          <w:rFonts w:ascii="TTE12D0EC0t00" w:hAnsi="TTE12D0EC0t00" w:cs="TTE12D0EC0t00"/>
          <w:sz w:val="24"/>
          <w:szCs w:val="24"/>
        </w:rPr>
      </w:pPr>
      <w:r>
        <w:rPr>
          <w:rFonts w:ascii="DejaVuSans" w:hAnsi="DejaVuSans" w:cs="DejaVuSans"/>
          <w:sz w:val="24"/>
          <w:szCs w:val="24"/>
        </w:rPr>
        <w:t>2-</w:t>
      </w:r>
      <w:r w:rsidR="00725558" w:rsidRPr="00725558">
        <w:rPr>
          <w:rFonts w:ascii="TTE1054310t00" w:hAnsi="TTE1054310t00" w:cs="TTE1054310t00"/>
          <w:sz w:val="24"/>
          <w:szCs w:val="24"/>
        </w:rPr>
        <w:t xml:space="preserve"> </w:t>
      </w:r>
      <w:r w:rsidR="00725558">
        <w:rPr>
          <w:rFonts w:ascii="TTE1054310t00" w:hAnsi="TTE1054310t00" w:cs="TTE1054310t00"/>
          <w:sz w:val="24"/>
          <w:szCs w:val="24"/>
        </w:rPr>
        <w:t xml:space="preserve">Ensure the availability of psychosocial support and rationally prescribed psychotropic medication. </w:t>
      </w:r>
      <w:r w:rsidR="00725558">
        <w:rPr>
          <w:rFonts w:ascii="TTE12D0EC0t00" w:hAnsi="TTE12D0EC0t00" w:cs="TTE12D0EC0t00"/>
          <w:sz w:val="24"/>
          <w:szCs w:val="24"/>
        </w:rPr>
        <w:t>Prisoners – through appropriately trained health care providers - should have the same</w:t>
      </w:r>
      <w:r w:rsidR="00725558">
        <w:rPr>
          <w:rFonts w:ascii="TTE1054310t00" w:hAnsi="TTE1054310t00" w:cs="TTE1054310t00"/>
          <w:sz w:val="24"/>
          <w:szCs w:val="24"/>
        </w:rPr>
        <w:t xml:space="preserve"> </w:t>
      </w:r>
      <w:r w:rsidR="00725558">
        <w:rPr>
          <w:rFonts w:ascii="TTE12D0EC0t00" w:hAnsi="TTE12D0EC0t00" w:cs="TTE12D0EC0t00"/>
          <w:sz w:val="24"/>
          <w:szCs w:val="24"/>
        </w:rPr>
        <w:t>access to psychotropic medication and psychosocial support for the treatment of</w:t>
      </w:r>
      <w:r w:rsidR="00725558">
        <w:rPr>
          <w:rFonts w:ascii="TTE1054310t00" w:hAnsi="TTE1054310t00" w:cs="TTE1054310t00"/>
          <w:sz w:val="24"/>
          <w:szCs w:val="24"/>
        </w:rPr>
        <w:t xml:space="preserve"> </w:t>
      </w:r>
      <w:r w:rsidR="00725558">
        <w:rPr>
          <w:rFonts w:ascii="TTE12D0EC0t00" w:hAnsi="TTE12D0EC0t00" w:cs="TTE12D0EC0t00"/>
          <w:sz w:val="24"/>
          <w:szCs w:val="24"/>
        </w:rPr>
        <w:t>mental disorders as people in the general community.</w:t>
      </w:r>
    </w:p>
    <w:p w:rsidR="00725558" w:rsidRDefault="00725558" w:rsidP="00725558">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3-- Establishing regular visits of a community mental health team to prisons</w:t>
      </w:r>
    </w:p>
    <w:p w:rsidR="00725558" w:rsidRDefault="00725558" w:rsidP="00725558">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4- Those requiring more specialist care for example, can be referred to specialist mental health providers where in- patient assessment and treatment can be provided.</w:t>
      </w:r>
    </w:p>
    <w:p w:rsidR="00725558" w:rsidRDefault="00725558" w:rsidP="00725558">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5- Primary health care providers in prisons should be provided with basic training in the recognition and basic management of common mental disorders.</w:t>
      </w:r>
    </w:p>
    <w:p w:rsidR="00725558" w:rsidRDefault="00725558" w:rsidP="00725558">
      <w:pPr>
        <w:autoSpaceDE w:val="0"/>
        <w:autoSpaceDN w:val="0"/>
        <w:adjustRightInd w:val="0"/>
        <w:spacing w:after="0" w:line="240" w:lineRule="auto"/>
        <w:rPr>
          <w:rFonts w:ascii="TTE1054310t00" w:hAnsi="TTE1054310t00" w:cs="TTE1054310t00"/>
          <w:sz w:val="24"/>
          <w:szCs w:val="24"/>
        </w:rPr>
      </w:pPr>
      <w:r>
        <w:rPr>
          <w:rFonts w:ascii="DejaVuSans" w:hAnsi="DejaVuSans" w:cs="DejaVuSans"/>
          <w:sz w:val="24"/>
          <w:szCs w:val="24"/>
        </w:rPr>
        <w:t xml:space="preserve">6- </w:t>
      </w:r>
      <w:r>
        <w:rPr>
          <w:rFonts w:ascii="TTE1054310t00" w:hAnsi="TTE1054310t00" w:cs="TTE1054310t00"/>
          <w:sz w:val="24"/>
          <w:szCs w:val="24"/>
        </w:rPr>
        <w:t>Provide training to staff:</w:t>
      </w:r>
    </w:p>
    <w:p w:rsidR="00725558" w:rsidRDefault="00725558" w:rsidP="00725558">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t xml:space="preserve">Training on mental health issues should be provided to all people involved in prisons including prison administrators, prison guards and health workers. Training should enhance staff understanding of mental disorders, raise awareness on human rights, challenge stigmatizing attitudes and encourage mental health promotion for both staff and prisoners. An important element of training for all levels of prison staff should be the recognition and prevention of suicides. </w:t>
      </w:r>
    </w:p>
    <w:p w:rsidR="00725558" w:rsidRDefault="00725558" w:rsidP="00725558">
      <w:pPr>
        <w:autoSpaceDE w:val="0"/>
        <w:autoSpaceDN w:val="0"/>
        <w:adjustRightInd w:val="0"/>
        <w:spacing w:after="0" w:line="240" w:lineRule="auto"/>
        <w:rPr>
          <w:rFonts w:ascii="TTE1054310t00" w:hAnsi="TTE1054310t00" w:cs="TTE1054310t00"/>
          <w:sz w:val="24"/>
          <w:szCs w:val="24"/>
        </w:rPr>
      </w:pPr>
      <w:r>
        <w:rPr>
          <w:rFonts w:ascii="TTE12D0EC0t00" w:hAnsi="TTE12D0EC0t00" w:cs="TTE12D0EC0t00"/>
          <w:sz w:val="24"/>
          <w:szCs w:val="24"/>
        </w:rPr>
        <w:t xml:space="preserve">7- </w:t>
      </w:r>
      <w:r>
        <w:rPr>
          <w:rFonts w:ascii="TTE1054310t00" w:hAnsi="TTE1054310t00" w:cs="TTE1054310t00"/>
          <w:sz w:val="24"/>
          <w:szCs w:val="24"/>
        </w:rPr>
        <w:t>Provide information/education to prisoners and their families on mental health issues:</w:t>
      </w:r>
    </w:p>
    <w:p w:rsidR="00725558" w:rsidRPr="00272491" w:rsidRDefault="00725558" w:rsidP="00120A57">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t>Prisoners and their families should receive information and education on the nature of</w:t>
      </w:r>
      <w:r w:rsidR="00120A57">
        <w:rPr>
          <w:rFonts w:ascii="TTE12D0EC0t00" w:hAnsi="TTE12D0EC0t00" w:cs="TTE12D0EC0t00"/>
          <w:sz w:val="24"/>
          <w:szCs w:val="24"/>
        </w:rPr>
        <w:t xml:space="preserve"> </w:t>
      </w:r>
      <w:r>
        <w:rPr>
          <w:rFonts w:ascii="TTE12D0EC0t00" w:hAnsi="TTE12D0EC0t00" w:cs="TTE12D0EC0t00"/>
          <w:sz w:val="24"/>
          <w:szCs w:val="24"/>
        </w:rPr>
        <w:t>mental disorders, with a view to reducing stigma and discrimination, preventing</w:t>
      </w:r>
      <w:r w:rsidR="00120A57">
        <w:rPr>
          <w:rFonts w:ascii="TTE12D0EC0t00" w:hAnsi="TTE12D0EC0t00" w:cs="TTE12D0EC0t00"/>
          <w:sz w:val="24"/>
          <w:szCs w:val="24"/>
        </w:rPr>
        <w:t xml:space="preserve"> </w:t>
      </w:r>
      <w:r>
        <w:rPr>
          <w:rFonts w:ascii="TTE12D0EC0t00" w:hAnsi="TTE12D0EC0t00" w:cs="TTE12D0EC0t00"/>
          <w:sz w:val="24"/>
          <w:szCs w:val="24"/>
        </w:rPr>
        <w:t>mental disorders and promoting mental health. Information can help prisoners and</w:t>
      </w:r>
      <w:r w:rsidR="00120A57">
        <w:rPr>
          <w:rFonts w:ascii="TTE12D0EC0t00" w:hAnsi="TTE12D0EC0t00" w:cs="TTE12D0EC0t00"/>
          <w:sz w:val="24"/>
          <w:szCs w:val="24"/>
        </w:rPr>
        <w:t xml:space="preserve"> </w:t>
      </w:r>
      <w:r>
        <w:rPr>
          <w:rFonts w:ascii="TTE12D0EC0t00" w:hAnsi="TTE12D0EC0t00" w:cs="TTE12D0EC0t00"/>
          <w:sz w:val="24"/>
          <w:szCs w:val="24"/>
        </w:rPr>
        <w:t>their families better understand their emotional responses to imprisonment and</w:t>
      </w:r>
      <w:r w:rsidR="00120A57">
        <w:rPr>
          <w:rFonts w:ascii="TTE12D0EC0t00" w:hAnsi="TTE12D0EC0t00" w:cs="TTE12D0EC0t00"/>
          <w:sz w:val="24"/>
          <w:szCs w:val="24"/>
        </w:rPr>
        <w:t xml:space="preserve"> provide practical </w:t>
      </w:r>
      <w:r>
        <w:rPr>
          <w:rFonts w:ascii="TTE12D0EC0t00" w:hAnsi="TTE12D0EC0t00" w:cs="TTE12D0EC0t00"/>
          <w:sz w:val="24"/>
          <w:szCs w:val="24"/>
        </w:rPr>
        <w:t>strategies on how to minimize the negative effects on their mental</w:t>
      </w:r>
      <w:r w:rsidR="00120A57">
        <w:rPr>
          <w:rFonts w:ascii="TTE12D0EC0t00" w:hAnsi="TTE12D0EC0t00" w:cs="TTE12D0EC0t00"/>
          <w:sz w:val="24"/>
          <w:szCs w:val="24"/>
        </w:rPr>
        <w:t xml:space="preserve"> </w:t>
      </w:r>
      <w:r>
        <w:rPr>
          <w:rFonts w:ascii="TTE12D0EC0t00" w:hAnsi="TTE12D0EC0t00" w:cs="TTE12D0EC0t00"/>
          <w:sz w:val="24"/>
          <w:szCs w:val="24"/>
        </w:rPr>
        <w:t>health and inform them as to when and how to seek help for a mental disorder.</w:t>
      </w:r>
    </w:p>
    <w:p w:rsidR="00725558" w:rsidRDefault="00725558" w:rsidP="00725558">
      <w:pPr>
        <w:autoSpaceDE w:val="0"/>
        <w:autoSpaceDN w:val="0"/>
        <w:adjustRightInd w:val="0"/>
        <w:spacing w:after="0" w:line="240" w:lineRule="auto"/>
        <w:rPr>
          <w:rFonts w:ascii="DejaVuSans" w:hAnsi="DejaVuSans" w:cs="DejaVuSans"/>
          <w:sz w:val="24"/>
          <w:szCs w:val="24"/>
        </w:rPr>
      </w:pPr>
      <w:r>
        <w:rPr>
          <w:rFonts w:ascii="DejaVuSans" w:hAnsi="DejaVuSans" w:cs="DejaVuSans"/>
          <w:sz w:val="24"/>
          <w:szCs w:val="24"/>
        </w:rPr>
        <w:t>8- No one shall be subjected to torture or to cruel, inhuman or degrading treatment or punishment such as prolonged use of restraints and of solitary confinement and seclusion</w:t>
      </w:r>
    </w:p>
    <w:p w:rsidR="003B62D3" w:rsidRDefault="00ED6D47" w:rsidP="00ED6D47">
      <w:pPr>
        <w:autoSpaceDE w:val="0"/>
        <w:autoSpaceDN w:val="0"/>
        <w:adjustRightInd w:val="0"/>
        <w:spacing w:after="0" w:line="240" w:lineRule="auto"/>
        <w:rPr>
          <w:rFonts w:ascii="TTE12D0EC0t00" w:hAnsi="TTE12D0EC0t00" w:cs="TTE12D0EC0t00"/>
          <w:sz w:val="24"/>
          <w:szCs w:val="24"/>
        </w:rPr>
      </w:pPr>
      <w:r w:rsidRPr="00ED6D47">
        <w:rPr>
          <w:rFonts w:ascii="TTE12D0EC0t00" w:hAnsi="TTE12D0EC0t00" w:cs="TTE12D0EC0t00"/>
          <w:sz w:val="24"/>
          <w:szCs w:val="24"/>
        </w:rPr>
        <w:t>9- Staff needs to feel that their work and their individual worth are valued and appreciated and that help is available if they are under pressure. Staff that sees that their contribution is supported and valued will perform more effectively, experience greater job satisfaction and will be better able to promote the mental health of prisoners. Effective staff welfare arrangements must be in place.</w:t>
      </w:r>
    </w:p>
    <w:p w:rsidR="00ED6D47" w:rsidRPr="0073641C" w:rsidRDefault="00ED6D47" w:rsidP="00ED6D47">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t xml:space="preserve">10- </w:t>
      </w:r>
      <w:r w:rsidRPr="0073641C">
        <w:rPr>
          <w:rFonts w:ascii="TTE12D0EC0t00" w:hAnsi="TTE12D0EC0t00" w:cs="TTE12D0EC0t00"/>
          <w:sz w:val="24"/>
          <w:szCs w:val="24"/>
        </w:rPr>
        <w:t>Security has a special meaning in the prison context; the secure custody of prisoners is the most basic requirement of all prisons. In a wider sense, however, people must feel safe and secure if they are to develop and achieve their potential. Experience suggests that prisoners are best enabled to progress where attention has been paid to three levels of security:</w:t>
      </w:r>
    </w:p>
    <w:p w:rsidR="00ED6D47" w:rsidRPr="0073641C" w:rsidRDefault="0073641C" w:rsidP="00ED6D47">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t>A-</w:t>
      </w:r>
      <w:r w:rsidR="00ED6D47" w:rsidRPr="0073641C">
        <w:rPr>
          <w:rFonts w:ascii="TTE12D0EC0t00" w:hAnsi="TTE12D0EC0t00" w:cs="TTE12D0EC0t00"/>
          <w:sz w:val="24"/>
          <w:szCs w:val="24"/>
        </w:rPr>
        <w:t xml:space="preserve"> structural: the design of the building</w:t>
      </w:r>
    </w:p>
    <w:p w:rsidR="00ED6D47" w:rsidRPr="0073641C" w:rsidRDefault="0073641C" w:rsidP="00ED6D47">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t>B-</w:t>
      </w:r>
      <w:r w:rsidR="00ED6D47" w:rsidRPr="0073641C">
        <w:rPr>
          <w:rFonts w:ascii="TTE12D0EC0t00" w:hAnsi="TTE12D0EC0t00" w:cs="TTE12D0EC0t00"/>
          <w:sz w:val="24"/>
          <w:szCs w:val="24"/>
        </w:rPr>
        <w:t xml:space="preserve"> procedural:  policies and staff training (for example, in connection with hostage incidents)</w:t>
      </w:r>
    </w:p>
    <w:p w:rsidR="00ED6D47" w:rsidRPr="0073641C" w:rsidRDefault="0073641C" w:rsidP="00ED6D47">
      <w:pPr>
        <w:autoSpaceDE w:val="0"/>
        <w:autoSpaceDN w:val="0"/>
        <w:adjustRightInd w:val="0"/>
        <w:spacing w:after="0" w:line="240" w:lineRule="auto"/>
        <w:rPr>
          <w:rFonts w:ascii="TTE12D0EC0t00" w:hAnsi="TTE12D0EC0t00" w:cs="TTE12D0EC0t00"/>
          <w:sz w:val="24"/>
          <w:szCs w:val="24"/>
        </w:rPr>
      </w:pPr>
      <w:r>
        <w:rPr>
          <w:rFonts w:ascii="TTE12D0EC0t00" w:hAnsi="TTE12D0EC0t00" w:cs="TTE12D0EC0t00"/>
          <w:sz w:val="24"/>
          <w:szCs w:val="24"/>
        </w:rPr>
        <w:lastRenderedPageBreak/>
        <w:t>C-</w:t>
      </w:r>
      <w:r w:rsidR="00ED6D47" w:rsidRPr="0073641C">
        <w:rPr>
          <w:rFonts w:ascii="TTE12D0EC0t00" w:hAnsi="TTE12D0EC0t00" w:cs="TTE12D0EC0t00"/>
          <w:sz w:val="24"/>
          <w:szCs w:val="24"/>
        </w:rPr>
        <w:t xml:space="preserve"> </w:t>
      </w:r>
      <w:proofErr w:type="gramStart"/>
      <w:r w:rsidR="00ED6D47" w:rsidRPr="0073641C">
        <w:rPr>
          <w:rFonts w:ascii="TTE12D0EC0t00" w:hAnsi="TTE12D0EC0t00" w:cs="TTE12D0EC0t00"/>
          <w:sz w:val="24"/>
          <w:szCs w:val="24"/>
        </w:rPr>
        <w:t>relational :</w:t>
      </w:r>
      <w:proofErr w:type="gramEnd"/>
      <w:r w:rsidR="00ED6D47" w:rsidRPr="0073641C">
        <w:rPr>
          <w:rFonts w:ascii="TTE12D0EC0t00" w:hAnsi="TTE12D0EC0t00" w:cs="TTE12D0EC0t00"/>
          <w:sz w:val="24"/>
          <w:szCs w:val="24"/>
        </w:rPr>
        <w:t xml:space="preserve">  positive staff/prisoner relationships.</w:t>
      </w:r>
    </w:p>
    <w:p w:rsidR="005520AC" w:rsidRPr="0073641C" w:rsidRDefault="005520AC" w:rsidP="005520AC">
      <w:p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11-Practical ways of enhancing the individual’s emotional resilience and the strength of the community, which have been shown to be effective, include:</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regular physical exercise</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regular participation in education, work or training</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access to the arts</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anti-bullying strategies</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prevention of depression:</w:t>
      </w:r>
    </w:p>
    <w:p w:rsidR="005520AC" w:rsidRPr="0073641C" w:rsidRDefault="00462556" w:rsidP="0073641C">
      <w:pPr>
        <w:pStyle w:val="ListParagraph"/>
        <w:numPr>
          <w:ilvl w:val="1"/>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Cognitive/behavioral</w:t>
      </w:r>
      <w:r w:rsidR="005520AC" w:rsidRPr="0073641C">
        <w:rPr>
          <w:rFonts w:ascii="TTE12D0EC0t00" w:hAnsi="TTE12D0EC0t00" w:cs="TTE12D0EC0t00"/>
          <w:sz w:val="24"/>
          <w:szCs w:val="24"/>
        </w:rPr>
        <w:t xml:space="preserve"> procedures</w:t>
      </w:r>
    </w:p>
    <w:p w:rsidR="005520AC" w:rsidRPr="0073641C" w:rsidRDefault="005520AC" w:rsidP="0073641C">
      <w:pPr>
        <w:pStyle w:val="ListParagraph"/>
        <w:numPr>
          <w:ilvl w:val="1"/>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spiritual reflection, which could include meditation or yoga</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the acquisition of skills</w:t>
      </w:r>
    </w:p>
    <w:p w:rsidR="005520AC" w:rsidRPr="0073641C" w:rsidRDefault="005520AC"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proofErr w:type="gramStart"/>
      <w:r w:rsidRPr="0073641C">
        <w:rPr>
          <w:rFonts w:ascii="TTE12D0EC0t00" w:hAnsi="TTE12D0EC0t00" w:cs="TTE12D0EC0t00"/>
          <w:sz w:val="24"/>
          <w:szCs w:val="24"/>
        </w:rPr>
        <w:t>utilizing</w:t>
      </w:r>
      <w:proofErr w:type="gramEnd"/>
      <w:r w:rsidRPr="0073641C">
        <w:rPr>
          <w:rFonts w:ascii="TTE12D0EC0t00" w:hAnsi="TTE12D0EC0t00" w:cs="TTE12D0EC0t00"/>
          <w:sz w:val="24"/>
          <w:szCs w:val="24"/>
        </w:rPr>
        <w:t xml:space="preserve"> prisoners’ resources, for example for peer support.</w:t>
      </w:r>
    </w:p>
    <w:p w:rsidR="009F2E2B" w:rsidRPr="0073641C" w:rsidRDefault="009F2E2B" w:rsidP="0073641C">
      <w:p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12- Some of the benefits, carrying significant advantages to mental health, which may be open</w:t>
      </w:r>
      <w:r w:rsidR="0073641C">
        <w:rPr>
          <w:rFonts w:ascii="TTE12D0EC0t00" w:hAnsi="TTE12D0EC0t00" w:cs="TTE12D0EC0t00"/>
          <w:sz w:val="24"/>
          <w:szCs w:val="24"/>
        </w:rPr>
        <w:t xml:space="preserve"> </w:t>
      </w:r>
      <w:r w:rsidRPr="0073641C">
        <w:rPr>
          <w:rFonts w:ascii="TTE12D0EC0t00" w:hAnsi="TTE12D0EC0t00" w:cs="TTE12D0EC0t00"/>
          <w:sz w:val="24"/>
          <w:szCs w:val="24"/>
        </w:rPr>
        <w:t>to prisoners, include:</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access to sports and fitness facilities;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opportunities to benefit from education and obtain qualifications;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vocational training and help in obtaining employment after release;</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opportunities to participate in the arts;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balanced diets;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access to health care;</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reduced substance misuse or dependence;</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 xml:space="preserve">access to drugs and alcohol detoxification and rehabilitation </w:t>
      </w:r>
      <w:proofErr w:type="spellStart"/>
      <w:r w:rsidRPr="0073641C">
        <w:rPr>
          <w:rFonts w:ascii="TTE12D0EC0t00" w:hAnsi="TTE12D0EC0t00" w:cs="TTE12D0EC0t00"/>
          <w:sz w:val="24"/>
          <w:szCs w:val="24"/>
        </w:rPr>
        <w:t>programmes</w:t>
      </w:r>
      <w:proofErr w:type="spellEnd"/>
      <w:r w:rsidRPr="0073641C">
        <w:rPr>
          <w:rFonts w:ascii="TTE12D0EC0t00" w:hAnsi="TTE12D0EC0t00" w:cs="TTE12D0EC0t00"/>
          <w:sz w:val="24"/>
          <w:szCs w:val="24"/>
        </w:rPr>
        <w:t>;</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practice in social skills;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assistance in coping with strong or destructive feelings such as guilt and anger;</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supportive relationships with, and good role models from, staff;</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advice and education on relationships, including parenting;</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 xml:space="preserve">opportunities to gain insight into their own offending </w:t>
      </w:r>
      <w:proofErr w:type="spellStart"/>
      <w:r w:rsidRPr="0073641C">
        <w:rPr>
          <w:rFonts w:ascii="TTE12D0EC0t00" w:hAnsi="TTE12D0EC0t00" w:cs="TTE12D0EC0t00"/>
          <w:sz w:val="24"/>
          <w:szCs w:val="24"/>
        </w:rPr>
        <w:t>behaviour</w:t>
      </w:r>
      <w:proofErr w:type="spellEnd"/>
      <w:r w:rsidRPr="0073641C">
        <w:rPr>
          <w:rFonts w:ascii="TTE12D0EC0t00" w:hAnsi="TTE12D0EC0t00" w:cs="TTE12D0EC0t00"/>
          <w:sz w:val="24"/>
          <w:szCs w:val="24"/>
        </w:rPr>
        <w:t>;</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opportunities to reflect and take stock of their lives, with support in making changes;</w:t>
      </w:r>
    </w:p>
    <w:p w:rsidR="009F2E2B" w:rsidRPr="0073641C" w:rsidRDefault="009F2E2B" w:rsidP="0073641C">
      <w:pPr>
        <w:pStyle w:val="ListParagraph"/>
        <w:numPr>
          <w:ilvl w:val="0"/>
          <w:numId w:val="2"/>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 xml:space="preserve">opportunities to </w:t>
      </w:r>
      <w:r w:rsidR="0073641C" w:rsidRPr="0073641C">
        <w:rPr>
          <w:rFonts w:ascii="TTE12D0EC0t00" w:hAnsi="TTE12D0EC0t00" w:cs="TTE12D0EC0t00"/>
          <w:sz w:val="24"/>
          <w:szCs w:val="24"/>
        </w:rPr>
        <w:t>practice</w:t>
      </w:r>
      <w:r w:rsidRPr="0073641C">
        <w:rPr>
          <w:rFonts w:ascii="TTE12D0EC0t00" w:hAnsi="TTE12D0EC0t00" w:cs="TTE12D0EC0t00"/>
          <w:sz w:val="24"/>
          <w:szCs w:val="24"/>
        </w:rPr>
        <w:t xml:space="preserve"> the constructive, enjoyable and fulfilling use of time, for example in</w:t>
      </w:r>
      <w:r w:rsidR="0073641C">
        <w:rPr>
          <w:rFonts w:ascii="TTE12D0EC0t00" w:hAnsi="TTE12D0EC0t00" w:cs="TTE12D0EC0t00"/>
          <w:sz w:val="24"/>
          <w:szCs w:val="24"/>
        </w:rPr>
        <w:t xml:space="preserve"> </w:t>
      </w:r>
      <w:r w:rsidRPr="0073641C">
        <w:rPr>
          <w:rFonts w:ascii="TTE12D0EC0t00" w:hAnsi="TTE12D0EC0t00" w:cs="TTE12D0EC0t00"/>
          <w:sz w:val="24"/>
          <w:szCs w:val="24"/>
        </w:rPr>
        <w:t>involvement in the arts or exercise;</w:t>
      </w:r>
    </w:p>
    <w:p w:rsidR="009F2E2B" w:rsidRPr="0073641C" w:rsidRDefault="0073641C" w:rsidP="0073641C">
      <w:pPr>
        <w:pStyle w:val="ListParagraph"/>
        <w:numPr>
          <w:ilvl w:val="0"/>
          <w:numId w:val="3"/>
        </w:numPr>
        <w:autoSpaceDE w:val="0"/>
        <w:autoSpaceDN w:val="0"/>
        <w:adjustRightInd w:val="0"/>
        <w:spacing w:after="0" w:line="240" w:lineRule="auto"/>
        <w:rPr>
          <w:rFonts w:ascii="TTE12D0EC0t00" w:hAnsi="TTE12D0EC0t00" w:cs="TTE12D0EC0t00"/>
          <w:sz w:val="24"/>
          <w:szCs w:val="24"/>
        </w:rPr>
      </w:pPr>
      <w:r w:rsidRPr="0073641C">
        <w:rPr>
          <w:rFonts w:ascii="TTE12D0EC0t00" w:hAnsi="TTE12D0EC0t00" w:cs="TTE12D0EC0t00"/>
          <w:sz w:val="24"/>
          <w:szCs w:val="24"/>
        </w:rPr>
        <w:t>Opportunities</w:t>
      </w:r>
      <w:r w:rsidR="009F2E2B" w:rsidRPr="0073641C">
        <w:rPr>
          <w:rFonts w:ascii="TTE12D0EC0t00" w:hAnsi="TTE12D0EC0t00" w:cs="TTE12D0EC0t00"/>
          <w:sz w:val="24"/>
          <w:szCs w:val="24"/>
        </w:rPr>
        <w:t xml:space="preserve"> for socially useful activity, for example through peer support or community</w:t>
      </w:r>
      <w:r>
        <w:rPr>
          <w:rFonts w:ascii="TTE12D0EC0t00" w:hAnsi="TTE12D0EC0t00" w:cs="TTE12D0EC0t00"/>
          <w:sz w:val="24"/>
          <w:szCs w:val="24"/>
        </w:rPr>
        <w:t xml:space="preserve"> </w:t>
      </w:r>
      <w:r w:rsidR="009F2E2B" w:rsidRPr="0073641C">
        <w:rPr>
          <w:rFonts w:ascii="TTE12D0EC0t00" w:hAnsi="TTE12D0EC0t00" w:cs="TTE12D0EC0t00"/>
          <w:sz w:val="24"/>
          <w:szCs w:val="24"/>
        </w:rPr>
        <w:t>involvement.</w:t>
      </w:r>
    </w:p>
    <w:sectPr w:rsidR="009F2E2B" w:rsidRPr="00736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TE12D0EC0t00">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TTE105431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4AB8"/>
    <w:multiLevelType w:val="hybridMultilevel"/>
    <w:tmpl w:val="B5204506"/>
    <w:lvl w:ilvl="0" w:tplc="104C83A4">
      <w:numFmt w:val="bullet"/>
      <w:lvlText w:val="·"/>
      <w:lvlJc w:val="left"/>
      <w:pPr>
        <w:ind w:left="720" w:hanging="360"/>
      </w:pPr>
      <w:rPr>
        <w:rFonts w:ascii="TTE12D0EC0t00" w:eastAsiaTheme="minorEastAsia" w:hAnsi="TTE12D0EC0t00" w:cs="TTE12D0EC0t00" w:hint="default"/>
      </w:rPr>
    </w:lvl>
    <w:lvl w:ilvl="1" w:tplc="780E4972">
      <w:numFmt w:val="bullet"/>
      <w:lvlText w:val="-"/>
      <w:lvlJc w:val="left"/>
      <w:pPr>
        <w:ind w:left="1440" w:hanging="360"/>
      </w:pPr>
      <w:rPr>
        <w:rFonts w:ascii="TTE12D0EC0t00" w:eastAsiaTheme="minorEastAsia" w:hAnsi="TTE12D0EC0t00" w:cs="TTE12D0EC0t00"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7F1AF7"/>
    <w:multiLevelType w:val="hybridMultilevel"/>
    <w:tmpl w:val="39165734"/>
    <w:lvl w:ilvl="0" w:tplc="104C83A4">
      <w:numFmt w:val="bullet"/>
      <w:lvlText w:val="·"/>
      <w:lvlJc w:val="left"/>
      <w:pPr>
        <w:ind w:left="720" w:hanging="360"/>
      </w:pPr>
      <w:rPr>
        <w:rFonts w:ascii="TTE12D0EC0t00" w:eastAsiaTheme="minorEastAsia" w:hAnsi="TTE12D0EC0t00" w:cs="TTE12D0EC0t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5081A"/>
    <w:multiLevelType w:val="hybridMultilevel"/>
    <w:tmpl w:val="0C48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8201DA"/>
    <w:rsid w:val="00120A57"/>
    <w:rsid w:val="002205A6"/>
    <w:rsid w:val="00272491"/>
    <w:rsid w:val="003B62D3"/>
    <w:rsid w:val="004331AB"/>
    <w:rsid w:val="00462556"/>
    <w:rsid w:val="00493815"/>
    <w:rsid w:val="005520AC"/>
    <w:rsid w:val="00656807"/>
    <w:rsid w:val="00725558"/>
    <w:rsid w:val="0073641C"/>
    <w:rsid w:val="008201DA"/>
    <w:rsid w:val="009F2E2B"/>
    <w:rsid w:val="00A44CED"/>
    <w:rsid w:val="00AA2351"/>
    <w:rsid w:val="00AC6F37"/>
    <w:rsid w:val="00B165B1"/>
    <w:rsid w:val="00DE2B31"/>
    <w:rsid w:val="00ED6D47"/>
    <w:rsid w:val="00F1581A"/>
    <w:rsid w:val="00F637F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4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48</cp:revision>
  <dcterms:created xsi:type="dcterms:W3CDTF">2013-05-31T20:00:00Z</dcterms:created>
  <dcterms:modified xsi:type="dcterms:W3CDTF">2013-05-31T21:27:00Z</dcterms:modified>
</cp:coreProperties>
</file>