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2A8" w:rsidRDefault="000512A8">
      <w:pPr>
        <w:rPr>
          <w:rFonts w:ascii="Tahoma" w:hAnsi="Tahoma" w:cs="Tahoma"/>
          <w:b/>
        </w:rPr>
      </w:pPr>
    </w:p>
    <w:p w:rsidR="000512A8" w:rsidRDefault="000512A8">
      <w:pPr>
        <w:rPr>
          <w:rFonts w:ascii="Tahoma" w:hAnsi="Tahoma" w:cs="Tahoma"/>
          <w:b/>
        </w:rPr>
      </w:pPr>
    </w:p>
    <w:p w:rsidR="00875E57" w:rsidRPr="000512A8" w:rsidRDefault="000512A8">
      <w:pPr>
        <w:rPr>
          <w:rFonts w:ascii="Tahoma" w:hAnsi="Tahoma" w:cs="Tahoma"/>
          <w:b/>
        </w:rPr>
      </w:pPr>
      <w:r w:rsidRPr="000512A8">
        <w:rPr>
          <w:rFonts w:ascii="Tahoma" w:hAnsi="Tahoma" w:cs="Tahoma"/>
          <w:b/>
        </w:rPr>
        <w:t>Exercise 1</w:t>
      </w:r>
    </w:p>
    <w:tbl>
      <w:tblPr>
        <w:tblStyle w:val="TableGrid"/>
        <w:tblpPr w:leftFromText="180" w:rightFromText="180" w:vertAnchor="page" w:horzAnchor="margin" w:tblpY="3097"/>
        <w:tblW w:w="0" w:type="auto"/>
        <w:tblLook w:val="04A0" w:firstRow="1" w:lastRow="0" w:firstColumn="1" w:lastColumn="0" w:noHBand="0" w:noVBand="1"/>
      </w:tblPr>
      <w:tblGrid>
        <w:gridCol w:w="4621"/>
        <w:gridCol w:w="4621"/>
      </w:tblGrid>
      <w:tr w:rsidR="000512A8" w:rsidTr="000512A8">
        <w:tc>
          <w:tcPr>
            <w:tcW w:w="4621" w:type="dxa"/>
          </w:tcPr>
          <w:p w:rsidR="000512A8" w:rsidRPr="00AB45EE" w:rsidRDefault="000512A8" w:rsidP="000512A8">
            <w:pPr>
              <w:jc w:val="center"/>
              <w:rPr>
                <w:rFonts w:ascii="Tahoma" w:eastAsia="Times New Roman" w:hAnsi="Tahoma" w:cs="Tahoma"/>
                <w:i/>
                <w:sz w:val="24"/>
                <w:szCs w:val="24"/>
                <w:lang w:eastAsia="en-AU"/>
              </w:rPr>
            </w:pPr>
            <w:r w:rsidRPr="00AB45EE">
              <w:rPr>
                <w:rFonts w:ascii="Tahoma" w:eastAsia="Times New Roman" w:hAnsi="Tahoma" w:cs="Tahoma"/>
                <w:i/>
                <w:sz w:val="24"/>
                <w:szCs w:val="24"/>
                <w:lang w:val="en-GB" w:eastAsia="en-AU"/>
              </w:rPr>
              <w:t>Needs/barriers</w:t>
            </w:r>
          </w:p>
          <w:p w:rsidR="000512A8" w:rsidRPr="00AB45EE" w:rsidRDefault="000512A8" w:rsidP="000512A8">
            <w:pPr>
              <w:rPr>
                <w:rFonts w:ascii="Tahoma" w:hAnsi="Tahoma" w:cs="Tahoma"/>
                <w:i/>
              </w:rPr>
            </w:pPr>
          </w:p>
        </w:tc>
        <w:tc>
          <w:tcPr>
            <w:tcW w:w="4621" w:type="dxa"/>
          </w:tcPr>
          <w:p w:rsidR="000512A8" w:rsidRPr="00AB45EE" w:rsidRDefault="000512A8" w:rsidP="000512A8">
            <w:pPr>
              <w:jc w:val="center"/>
              <w:rPr>
                <w:rFonts w:ascii="Tahoma" w:eastAsia="Times New Roman" w:hAnsi="Tahoma" w:cs="Tahoma"/>
                <w:i/>
                <w:sz w:val="24"/>
                <w:szCs w:val="24"/>
                <w:lang w:eastAsia="en-AU"/>
              </w:rPr>
            </w:pPr>
            <w:r w:rsidRPr="00AB45EE">
              <w:rPr>
                <w:rFonts w:ascii="Tahoma" w:eastAsia="Times New Roman" w:hAnsi="Tahoma" w:cs="Tahoma"/>
                <w:i/>
                <w:sz w:val="24"/>
                <w:szCs w:val="24"/>
                <w:lang w:val="en-GB" w:eastAsia="en-AU"/>
              </w:rPr>
              <w:t>How legislation can address these needs/barriers</w:t>
            </w:r>
          </w:p>
          <w:p w:rsidR="000512A8" w:rsidRPr="00AB45EE" w:rsidRDefault="000512A8" w:rsidP="000512A8">
            <w:pPr>
              <w:rPr>
                <w:rFonts w:ascii="Tahoma" w:hAnsi="Tahoma" w:cs="Tahoma"/>
                <w:i/>
              </w:rPr>
            </w:pPr>
          </w:p>
        </w:tc>
      </w:tr>
      <w:tr w:rsidR="000512A8" w:rsidTr="000512A8">
        <w:tc>
          <w:tcPr>
            <w:tcW w:w="4621" w:type="dxa"/>
          </w:tcPr>
          <w:p w:rsidR="000512A8" w:rsidRPr="00AB45EE" w:rsidRDefault="000512A8" w:rsidP="000512A8">
            <w:pPr>
              <w:pStyle w:val="ListParagraph"/>
              <w:numPr>
                <w:ilvl w:val="0"/>
                <w:numId w:val="2"/>
              </w:numPr>
              <w:rPr>
                <w:rFonts w:ascii="Tahoma" w:hAnsi="Tahoma" w:cs="Tahoma"/>
                <w:b/>
              </w:rPr>
            </w:pPr>
            <w:r w:rsidRPr="00AB45EE">
              <w:rPr>
                <w:rFonts w:ascii="Tahoma" w:hAnsi="Tahoma" w:cs="Tahoma"/>
                <w:b/>
              </w:rPr>
              <w:t>Out-dated Mental Health Legislation</w:t>
            </w:r>
            <w:r w:rsidRPr="00AB45EE">
              <w:rPr>
                <w:rFonts w:ascii="Tahoma" w:hAnsi="Tahoma" w:cs="Tahoma"/>
              </w:rPr>
              <w:t xml:space="preserve">: the current mental health legislation was drafted and incorporated as a chapter in the 1973 </w:t>
            </w:r>
            <w:r w:rsidRPr="00AB45EE">
              <w:rPr>
                <w:rFonts w:ascii="Tahoma" w:hAnsi="Tahoma" w:cs="Tahoma"/>
                <w:i/>
              </w:rPr>
              <w:t>Public Health Act</w:t>
            </w:r>
            <w:r w:rsidRPr="00AB45EE">
              <w:rPr>
                <w:rFonts w:ascii="Tahoma" w:hAnsi="Tahoma" w:cs="Tahoma"/>
                <w:b/>
              </w:rPr>
              <w:t xml:space="preserve"> </w:t>
            </w:r>
          </w:p>
        </w:tc>
        <w:tc>
          <w:tcPr>
            <w:tcW w:w="4621" w:type="dxa"/>
          </w:tcPr>
          <w:p w:rsidR="000512A8" w:rsidRPr="00AB45EE" w:rsidRDefault="000512A8" w:rsidP="000512A8">
            <w:pPr>
              <w:autoSpaceDE w:val="0"/>
              <w:autoSpaceDN w:val="0"/>
              <w:adjustRightInd w:val="0"/>
              <w:rPr>
                <w:rFonts w:ascii="Tahoma" w:hAnsi="Tahoma" w:cs="Tahoma"/>
                <w:sz w:val="24"/>
                <w:szCs w:val="24"/>
              </w:rPr>
            </w:pPr>
            <w:r w:rsidRPr="00AB45EE">
              <w:rPr>
                <w:rFonts w:ascii="Tahoma" w:hAnsi="Tahoma" w:cs="Tahoma"/>
                <w:sz w:val="24"/>
                <w:szCs w:val="24"/>
              </w:rPr>
              <w:t>Mental health legislation can play an important role in preventing human rights violations and promoting rights based</w:t>
            </w:r>
            <w:r>
              <w:rPr>
                <w:rFonts w:ascii="Tahoma" w:hAnsi="Tahoma" w:cs="Tahoma"/>
                <w:sz w:val="24"/>
                <w:szCs w:val="24"/>
              </w:rPr>
              <w:t xml:space="preserve"> </w:t>
            </w:r>
            <w:r w:rsidRPr="00AB45EE">
              <w:rPr>
                <w:rFonts w:ascii="Tahoma" w:hAnsi="Tahoma" w:cs="Tahoma"/>
                <w:sz w:val="24"/>
                <w:szCs w:val="24"/>
              </w:rPr>
              <w:t>approach to the treatment and</w:t>
            </w:r>
          </w:p>
          <w:p w:rsidR="000512A8" w:rsidRPr="00AB45EE" w:rsidRDefault="000512A8" w:rsidP="000512A8">
            <w:pPr>
              <w:rPr>
                <w:rFonts w:ascii="Tahoma" w:hAnsi="Tahoma" w:cs="Tahoma"/>
                <w:sz w:val="24"/>
                <w:szCs w:val="24"/>
              </w:rPr>
            </w:pPr>
            <w:r w:rsidRPr="00AB45EE">
              <w:rPr>
                <w:rFonts w:ascii="Tahoma" w:hAnsi="Tahoma" w:cs="Tahoma"/>
                <w:sz w:val="24"/>
                <w:szCs w:val="24"/>
              </w:rPr>
              <w:t>care of persons with mental disabilities.</w:t>
            </w:r>
          </w:p>
          <w:p w:rsidR="000512A8" w:rsidRPr="00AB45EE" w:rsidRDefault="000512A8" w:rsidP="000512A8">
            <w:pPr>
              <w:rPr>
                <w:rFonts w:ascii="Tahoma" w:hAnsi="Tahoma" w:cs="Tahoma"/>
                <w:sz w:val="24"/>
                <w:szCs w:val="24"/>
              </w:rPr>
            </w:pPr>
          </w:p>
          <w:p w:rsidR="000512A8" w:rsidRPr="00AB45EE" w:rsidRDefault="000512A8" w:rsidP="000512A8">
            <w:pPr>
              <w:autoSpaceDE w:val="0"/>
              <w:autoSpaceDN w:val="0"/>
              <w:adjustRightInd w:val="0"/>
              <w:rPr>
                <w:rFonts w:ascii="Tahoma" w:hAnsi="Tahoma" w:cs="Tahoma"/>
                <w:sz w:val="24"/>
                <w:szCs w:val="24"/>
              </w:rPr>
            </w:pPr>
            <w:r w:rsidRPr="00AB45EE">
              <w:rPr>
                <w:rFonts w:ascii="Tahoma" w:hAnsi="Tahoma" w:cs="Tahoma"/>
                <w:sz w:val="24"/>
                <w:szCs w:val="24"/>
              </w:rPr>
              <w:t xml:space="preserve">With an out-dated legislation there is potential for human rights abuse and services provided may not be human rights oriented as it does not conform to international human rights </w:t>
            </w:r>
            <w:r>
              <w:rPr>
                <w:rFonts w:ascii="Tahoma" w:hAnsi="Tahoma" w:cs="Tahoma"/>
                <w:sz w:val="24"/>
                <w:szCs w:val="24"/>
              </w:rPr>
              <w:t xml:space="preserve">provisions contained in instruments such as </w:t>
            </w:r>
            <w:r w:rsidRPr="00AB45EE">
              <w:rPr>
                <w:rFonts w:ascii="Tahoma" w:hAnsi="Tahoma" w:cs="Tahoma"/>
                <w:sz w:val="24"/>
                <w:szCs w:val="24"/>
              </w:rPr>
              <w:t>the  Convention on the Rights of Persons with Disabilities (CRPD),   International Covenant on Economic, Social and Cultural Rights (</w:t>
            </w:r>
            <w:r w:rsidRPr="00AB45EE">
              <w:rPr>
                <w:rFonts w:ascii="Tahoma" w:hAnsi="Tahoma" w:cs="Tahoma"/>
                <w:bCs/>
                <w:sz w:val="24"/>
                <w:szCs w:val="24"/>
              </w:rPr>
              <w:t>ICESCR</w:t>
            </w:r>
            <w:r w:rsidRPr="00AB45EE">
              <w:rPr>
                <w:rFonts w:ascii="Tahoma" w:hAnsi="Tahoma" w:cs="Tahoma"/>
                <w:sz w:val="24"/>
                <w:szCs w:val="24"/>
              </w:rPr>
              <w:t>)</w:t>
            </w:r>
            <w:r w:rsidRPr="00AB45EE">
              <w:rPr>
                <w:rFonts w:ascii="Tahoma" w:hAnsi="Tahoma" w:cs="Tahoma"/>
                <w:sz w:val="14"/>
                <w:szCs w:val="14"/>
              </w:rPr>
              <w:t xml:space="preserve"> </w:t>
            </w:r>
            <w:r w:rsidRPr="00AB45EE">
              <w:rPr>
                <w:rFonts w:ascii="Tahoma" w:hAnsi="Tahoma" w:cs="Tahoma"/>
                <w:sz w:val="24"/>
                <w:szCs w:val="24"/>
              </w:rPr>
              <w:t>and the International Covenant on Civil and</w:t>
            </w:r>
          </w:p>
          <w:p w:rsidR="000512A8" w:rsidRDefault="000512A8" w:rsidP="000512A8">
            <w:pPr>
              <w:rPr>
                <w:rFonts w:ascii="Tahoma" w:hAnsi="Tahoma" w:cs="Tahoma"/>
                <w:sz w:val="24"/>
                <w:szCs w:val="24"/>
              </w:rPr>
            </w:pPr>
            <w:r w:rsidRPr="00AB45EE">
              <w:rPr>
                <w:rFonts w:ascii="Tahoma" w:hAnsi="Tahoma" w:cs="Tahoma"/>
                <w:sz w:val="24"/>
                <w:szCs w:val="24"/>
              </w:rPr>
              <w:t>Political Rights (</w:t>
            </w:r>
            <w:r w:rsidRPr="00AB45EE">
              <w:rPr>
                <w:rFonts w:ascii="Tahoma" w:hAnsi="Tahoma" w:cs="Tahoma"/>
                <w:bCs/>
                <w:sz w:val="24"/>
                <w:szCs w:val="24"/>
              </w:rPr>
              <w:t>ICCPR</w:t>
            </w:r>
            <w:r w:rsidRPr="00AB45EE">
              <w:rPr>
                <w:rFonts w:ascii="Tahoma" w:hAnsi="Tahoma" w:cs="Tahoma"/>
                <w:sz w:val="24"/>
                <w:szCs w:val="24"/>
              </w:rPr>
              <w:t>)</w:t>
            </w:r>
            <w:r>
              <w:rPr>
                <w:rFonts w:ascii="Tahoma" w:hAnsi="Tahoma" w:cs="Tahoma"/>
                <w:sz w:val="24"/>
                <w:szCs w:val="24"/>
              </w:rPr>
              <w:t>.</w:t>
            </w:r>
          </w:p>
          <w:p w:rsidR="000512A8" w:rsidRPr="00AB45EE" w:rsidRDefault="000512A8" w:rsidP="000512A8">
            <w:pPr>
              <w:rPr>
                <w:rFonts w:ascii="Tahoma" w:hAnsi="Tahoma" w:cs="Tahoma"/>
              </w:rPr>
            </w:pPr>
            <w:r>
              <w:rPr>
                <w:rFonts w:ascii="Tahoma" w:hAnsi="Tahoma" w:cs="Tahoma"/>
                <w:sz w:val="24"/>
                <w:szCs w:val="24"/>
              </w:rPr>
              <w:t xml:space="preserve"> Mental health legislation can address human rights issues if they conform to international human rights instruments.</w:t>
            </w:r>
          </w:p>
        </w:tc>
      </w:tr>
      <w:tr w:rsidR="000512A8" w:rsidTr="000512A8">
        <w:tc>
          <w:tcPr>
            <w:tcW w:w="4621" w:type="dxa"/>
          </w:tcPr>
          <w:p w:rsidR="000512A8" w:rsidRPr="00AB45EE" w:rsidRDefault="000512A8" w:rsidP="000512A8">
            <w:pPr>
              <w:pStyle w:val="ListParagraph"/>
              <w:numPr>
                <w:ilvl w:val="0"/>
                <w:numId w:val="2"/>
              </w:numPr>
              <w:rPr>
                <w:rFonts w:ascii="Tahoma" w:hAnsi="Tahoma" w:cs="Tahoma"/>
                <w:b/>
              </w:rPr>
            </w:pPr>
            <w:r w:rsidRPr="00AB45EE">
              <w:rPr>
                <w:rFonts w:ascii="Tahoma" w:hAnsi="Tahoma" w:cs="Tahoma"/>
                <w:b/>
              </w:rPr>
              <w:t>Lack of Community Mental Health Services</w:t>
            </w:r>
          </w:p>
        </w:tc>
        <w:tc>
          <w:tcPr>
            <w:tcW w:w="4621" w:type="dxa"/>
          </w:tcPr>
          <w:p w:rsidR="000512A8" w:rsidRDefault="000512A8" w:rsidP="000512A8">
            <w:pPr>
              <w:pStyle w:val="Heading5"/>
              <w:outlineLvl w:val="4"/>
              <w:rPr>
                <w:rFonts w:ascii="Tahoma" w:hAnsi="Tahoma" w:cs="Tahoma"/>
                <w:b w:val="0"/>
                <w:sz w:val="24"/>
                <w:szCs w:val="24"/>
              </w:rPr>
            </w:pPr>
            <w:r>
              <w:rPr>
                <w:rFonts w:ascii="Tahoma" w:hAnsi="Tahoma" w:cs="Tahoma"/>
                <w:b w:val="0"/>
                <w:sz w:val="24"/>
                <w:szCs w:val="24"/>
              </w:rPr>
              <w:t xml:space="preserve">The right to </w:t>
            </w:r>
            <w:r w:rsidRPr="00AB45EE">
              <w:rPr>
                <w:rFonts w:ascii="Tahoma" w:hAnsi="Tahoma" w:cs="Tahoma"/>
                <w:b w:val="0"/>
                <w:sz w:val="24"/>
                <w:szCs w:val="24"/>
              </w:rPr>
              <w:t xml:space="preserve">Living independently and being included in the community </w:t>
            </w:r>
            <w:r>
              <w:rPr>
                <w:rFonts w:ascii="Tahoma" w:hAnsi="Tahoma" w:cs="Tahoma"/>
                <w:b w:val="0"/>
                <w:sz w:val="24"/>
                <w:szCs w:val="24"/>
              </w:rPr>
              <w:t xml:space="preserve">find its place in </w:t>
            </w:r>
            <w:r w:rsidRPr="00AB45EE">
              <w:rPr>
                <w:rFonts w:ascii="Tahoma" w:hAnsi="Tahoma" w:cs="Tahoma"/>
                <w:b w:val="0"/>
                <w:sz w:val="24"/>
                <w:szCs w:val="24"/>
              </w:rPr>
              <w:t>CRPD Article 19</w:t>
            </w:r>
            <w:r>
              <w:rPr>
                <w:rFonts w:ascii="Tahoma" w:hAnsi="Tahoma" w:cs="Tahoma"/>
                <w:b w:val="0"/>
                <w:sz w:val="24"/>
                <w:szCs w:val="24"/>
              </w:rPr>
              <w:t xml:space="preserve">. </w:t>
            </w:r>
          </w:p>
          <w:p w:rsidR="000512A8" w:rsidRPr="00AB45EE" w:rsidRDefault="000512A8" w:rsidP="000512A8">
            <w:pPr>
              <w:pStyle w:val="Heading5"/>
              <w:outlineLvl w:val="4"/>
              <w:rPr>
                <w:rFonts w:ascii="Tahoma" w:hAnsi="Tahoma" w:cs="Tahoma"/>
                <w:b w:val="0"/>
                <w:sz w:val="24"/>
                <w:szCs w:val="24"/>
              </w:rPr>
            </w:pPr>
            <w:r>
              <w:rPr>
                <w:rFonts w:ascii="Tahoma" w:hAnsi="Tahoma" w:cs="Tahoma"/>
                <w:b w:val="0"/>
                <w:sz w:val="24"/>
                <w:szCs w:val="24"/>
              </w:rPr>
              <w:t xml:space="preserve">The current legislation does not have any provisions for setting up of community mental health services. Legislations based on international human rights standards such as the CRPD can make provisions for setting up of such programs using provisions in CRPD Article 19.  </w:t>
            </w:r>
          </w:p>
          <w:p w:rsidR="000512A8" w:rsidRPr="00AB45EE" w:rsidRDefault="000512A8" w:rsidP="000512A8">
            <w:pPr>
              <w:rPr>
                <w:rFonts w:ascii="Tahoma" w:hAnsi="Tahoma" w:cs="Tahoma"/>
              </w:rPr>
            </w:pPr>
          </w:p>
        </w:tc>
      </w:tr>
      <w:tr w:rsidR="000512A8" w:rsidTr="000512A8">
        <w:tc>
          <w:tcPr>
            <w:tcW w:w="4621" w:type="dxa"/>
          </w:tcPr>
          <w:p w:rsidR="000512A8" w:rsidRPr="00AB45EE" w:rsidRDefault="000512A8" w:rsidP="000512A8">
            <w:pPr>
              <w:pStyle w:val="ListParagraph"/>
              <w:numPr>
                <w:ilvl w:val="0"/>
                <w:numId w:val="2"/>
              </w:numPr>
              <w:rPr>
                <w:rFonts w:ascii="Tahoma" w:hAnsi="Tahoma" w:cs="Tahoma"/>
                <w:b/>
              </w:rPr>
            </w:pPr>
            <w:r>
              <w:rPr>
                <w:rFonts w:ascii="Tahoma" w:hAnsi="Tahoma" w:cs="Tahoma"/>
                <w:b/>
              </w:rPr>
              <w:t>Human rights violations</w:t>
            </w:r>
          </w:p>
        </w:tc>
        <w:tc>
          <w:tcPr>
            <w:tcW w:w="4621" w:type="dxa"/>
          </w:tcPr>
          <w:p w:rsidR="000512A8" w:rsidRDefault="000512A8" w:rsidP="000512A8">
            <w:pPr>
              <w:autoSpaceDE w:val="0"/>
              <w:autoSpaceDN w:val="0"/>
              <w:adjustRightInd w:val="0"/>
              <w:rPr>
                <w:rFonts w:ascii="PalatinoLinotype-Roman" w:hAnsi="PalatinoLinotype-Roman" w:cs="PalatinoLinotype-Roman"/>
                <w:sz w:val="24"/>
                <w:szCs w:val="24"/>
              </w:rPr>
            </w:pPr>
            <w:r>
              <w:rPr>
                <w:rFonts w:ascii="PalatinoLinotype-Roman" w:hAnsi="PalatinoLinotype-Roman" w:cs="PalatinoLinotype-Roman"/>
                <w:sz w:val="24"/>
                <w:szCs w:val="24"/>
              </w:rPr>
              <w:t>Mental health legislation can play an important role in preventing human rights violations and promoting rights based</w:t>
            </w:r>
          </w:p>
          <w:p w:rsidR="000512A8" w:rsidRDefault="000512A8" w:rsidP="000512A8">
            <w:pPr>
              <w:autoSpaceDE w:val="0"/>
              <w:autoSpaceDN w:val="0"/>
              <w:adjustRightInd w:val="0"/>
              <w:rPr>
                <w:rFonts w:ascii="PalatinoLinotype-Roman" w:hAnsi="PalatinoLinotype-Roman" w:cs="PalatinoLinotype-Roman"/>
                <w:sz w:val="24"/>
                <w:szCs w:val="24"/>
              </w:rPr>
            </w:pPr>
            <w:r>
              <w:rPr>
                <w:rFonts w:ascii="PalatinoLinotype-Roman" w:hAnsi="PalatinoLinotype-Roman" w:cs="PalatinoLinotype-Roman"/>
                <w:sz w:val="24"/>
                <w:szCs w:val="24"/>
              </w:rPr>
              <w:t>approach to the treatment and care of persons with mental disabilities.</w:t>
            </w:r>
          </w:p>
          <w:p w:rsidR="000512A8" w:rsidRDefault="000512A8" w:rsidP="000512A8">
            <w:pPr>
              <w:autoSpaceDE w:val="0"/>
              <w:autoSpaceDN w:val="0"/>
              <w:adjustRightInd w:val="0"/>
              <w:rPr>
                <w:rFonts w:ascii="PalatinoLinotype-Roman" w:hAnsi="PalatinoLinotype-Roman" w:cs="PalatinoLinotype-Roman"/>
                <w:sz w:val="24"/>
                <w:szCs w:val="24"/>
              </w:rPr>
            </w:pPr>
          </w:p>
          <w:p w:rsidR="000512A8" w:rsidRDefault="000512A8" w:rsidP="000512A8">
            <w:pPr>
              <w:autoSpaceDE w:val="0"/>
              <w:autoSpaceDN w:val="0"/>
              <w:adjustRightInd w:val="0"/>
              <w:rPr>
                <w:rFonts w:ascii="PalatinoLinotype-Roman" w:hAnsi="PalatinoLinotype-Roman" w:cs="PalatinoLinotype-Roman"/>
                <w:sz w:val="24"/>
                <w:szCs w:val="24"/>
              </w:rPr>
            </w:pPr>
            <w:r>
              <w:rPr>
                <w:rFonts w:ascii="PalatinoLinotype-Roman" w:hAnsi="PalatinoLinotype-Roman" w:cs="PalatinoLinotype-Roman"/>
                <w:sz w:val="24"/>
                <w:szCs w:val="24"/>
              </w:rPr>
              <w:t>There is an international (United Nations) human rights framework and in some</w:t>
            </w:r>
          </w:p>
          <w:p w:rsidR="000512A8" w:rsidRDefault="000512A8" w:rsidP="000512A8">
            <w:pPr>
              <w:autoSpaceDE w:val="0"/>
              <w:autoSpaceDN w:val="0"/>
              <w:adjustRightInd w:val="0"/>
              <w:rPr>
                <w:rFonts w:ascii="PalatinoLinotype-Roman" w:hAnsi="PalatinoLinotype-Roman" w:cs="PalatinoLinotype-Roman"/>
                <w:sz w:val="24"/>
                <w:szCs w:val="24"/>
              </w:rPr>
            </w:pPr>
            <w:r>
              <w:rPr>
                <w:rFonts w:ascii="PalatinoLinotype-Roman" w:hAnsi="PalatinoLinotype-Roman" w:cs="PalatinoLinotype-Roman"/>
                <w:sz w:val="24"/>
                <w:szCs w:val="24"/>
              </w:rPr>
              <w:t>parts of the world also a regional human rights framework that impose</w:t>
            </w:r>
            <w:r w:rsidR="0096016F">
              <w:rPr>
                <w:rFonts w:ascii="PalatinoLinotype-Roman" w:hAnsi="PalatinoLinotype-Roman" w:cs="PalatinoLinotype-Roman"/>
                <w:sz w:val="24"/>
                <w:szCs w:val="24"/>
              </w:rPr>
              <w:t xml:space="preserve"> </w:t>
            </w:r>
            <w:r>
              <w:rPr>
                <w:rFonts w:ascii="PalatinoLinotype-Roman" w:hAnsi="PalatinoLinotype-Roman" w:cs="PalatinoLinotype-Roman"/>
                <w:sz w:val="24"/>
                <w:szCs w:val="24"/>
              </w:rPr>
              <w:t>obligations on governments to respect and protect human rights, including</w:t>
            </w:r>
            <w:r w:rsidR="0096016F">
              <w:rPr>
                <w:rFonts w:ascii="PalatinoLinotype-Roman" w:hAnsi="PalatinoLinotype-Roman" w:cs="PalatinoLinotype-Roman"/>
                <w:sz w:val="24"/>
                <w:szCs w:val="24"/>
              </w:rPr>
              <w:t xml:space="preserve"> </w:t>
            </w:r>
            <w:r>
              <w:rPr>
                <w:rFonts w:ascii="PalatinoLinotype-Roman" w:hAnsi="PalatinoLinotype-Roman" w:cs="PalatinoLinotype-Roman"/>
                <w:sz w:val="24"/>
                <w:szCs w:val="24"/>
              </w:rPr>
              <w:t>the rights of people with mental disabilities. These human rights frameworks are a critical means of promoting the rights of people with mental disabilities and guiding the development of national mental health laws, policies, services and strategies.</w:t>
            </w:r>
          </w:p>
          <w:p w:rsidR="0096016F" w:rsidRDefault="0096016F" w:rsidP="000512A8">
            <w:pPr>
              <w:autoSpaceDE w:val="0"/>
              <w:autoSpaceDN w:val="0"/>
              <w:adjustRightInd w:val="0"/>
              <w:rPr>
                <w:rFonts w:ascii="PalatinoLinotype-Roman" w:hAnsi="PalatinoLinotype-Roman" w:cs="PalatinoLinotype-Roman"/>
                <w:sz w:val="24"/>
                <w:szCs w:val="24"/>
              </w:rPr>
            </w:pPr>
            <w:r>
              <w:rPr>
                <w:rFonts w:ascii="PalatinoLinotype-Roman" w:hAnsi="PalatinoLinotype-Roman" w:cs="PalatinoLinotype-Roman"/>
                <w:sz w:val="24"/>
                <w:szCs w:val="24"/>
              </w:rPr>
              <w:t>PNG Mental Health Legislation he</w:t>
            </w:r>
          </w:p>
          <w:p w:rsidR="000512A8" w:rsidRPr="00AB45EE" w:rsidRDefault="000512A8" w:rsidP="000512A8">
            <w:pPr>
              <w:rPr>
                <w:rFonts w:ascii="Tahoma" w:hAnsi="Tahoma" w:cs="Tahoma"/>
              </w:rPr>
            </w:pPr>
          </w:p>
        </w:tc>
      </w:tr>
    </w:tbl>
    <w:p w:rsidR="000512A8" w:rsidRDefault="000512A8"/>
    <w:p w:rsidR="003B1AE5" w:rsidRPr="000512A8" w:rsidRDefault="000512A8">
      <w:pPr>
        <w:rPr>
          <w:rFonts w:ascii="Tahoma" w:hAnsi="Tahoma" w:cs="Tahoma"/>
          <w:b/>
        </w:rPr>
      </w:pPr>
      <w:r w:rsidRPr="000512A8">
        <w:rPr>
          <w:rFonts w:ascii="Tahoma" w:hAnsi="Tahoma" w:cs="Tahoma"/>
          <w:b/>
        </w:rPr>
        <w:t>Exercise 2</w:t>
      </w:r>
    </w:p>
    <w:p w:rsidR="000512A8" w:rsidRDefault="000512A8"/>
    <w:tbl>
      <w:tblPr>
        <w:tblStyle w:val="TableGrid"/>
        <w:tblW w:w="0" w:type="auto"/>
        <w:tblLook w:val="04A0" w:firstRow="1" w:lastRow="0" w:firstColumn="1" w:lastColumn="0" w:noHBand="0" w:noVBand="1"/>
      </w:tblPr>
      <w:tblGrid>
        <w:gridCol w:w="4621"/>
        <w:gridCol w:w="4621"/>
      </w:tblGrid>
      <w:tr w:rsidR="003B1AE5" w:rsidTr="003B1AE5">
        <w:tc>
          <w:tcPr>
            <w:tcW w:w="4621" w:type="dxa"/>
          </w:tcPr>
          <w:p w:rsidR="003B1AE5" w:rsidRPr="0024662B" w:rsidRDefault="003B1AE5" w:rsidP="003B1AE5">
            <w:pPr>
              <w:jc w:val="center"/>
              <w:rPr>
                <w:rFonts w:ascii="Tahoma" w:eastAsia="Times New Roman" w:hAnsi="Tahoma" w:cs="Tahoma"/>
                <w:i/>
                <w:sz w:val="24"/>
                <w:szCs w:val="24"/>
                <w:lang w:eastAsia="en-AU"/>
              </w:rPr>
            </w:pPr>
            <w:r w:rsidRPr="0024662B">
              <w:rPr>
                <w:rFonts w:ascii="Tahoma" w:eastAsia="Times New Roman" w:hAnsi="Tahoma" w:cs="Tahoma"/>
                <w:bCs/>
                <w:i/>
                <w:sz w:val="24"/>
                <w:szCs w:val="24"/>
                <w:lang w:val="en-GB" w:eastAsia="en-AU"/>
              </w:rPr>
              <w:t xml:space="preserve">Potential barriers/obstacles to drafting, adopting or implementing mental health legislation </w:t>
            </w:r>
          </w:p>
          <w:p w:rsidR="003B1AE5" w:rsidRPr="0024662B" w:rsidRDefault="003B1AE5">
            <w:pPr>
              <w:rPr>
                <w:rFonts w:ascii="Tahoma" w:hAnsi="Tahoma" w:cs="Tahoma"/>
                <w:i/>
              </w:rPr>
            </w:pPr>
          </w:p>
        </w:tc>
        <w:tc>
          <w:tcPr>
            <w:tcW w:w="4621" w:type="dxa"/>
          </w:tcPr>
          <w:p w:rsidR="003B1AE5" w:rsidRPr="0024662B" w:rsidRDefault="003B1AE5" w:rsidP="003B1AE5">
            <w:pPr>
              <w:jc w:val="center"/>
              <w:rPr>
                <w:rFonts w:ascii="Tahoma" w:eastAsia="Times New Roman" w:hAnsi="Tahoma" w:cs="Tahoma"/>
                <w:i/>
                <w:sz w:val="24"/>
                <w:szCs w:val="24"/>
                <w:lang w:eastAsia="en-AU"/>
              </w:rPr>
            </w:pPr>
            <w:r w:rsidRPr="0024662B">
              <w:rPr>
                <w:rFonts w:ascii="Tahoma" w:eastAsia="Times New Roman" w:hAnsi="Tahoma" w:cs="Tahoma"/>
                <w:bCs/>
                <w:i/>
                <w:sz w:val="24"/>
                <w:szCs w:val="24"/>
                <w:lang w:val="en-GB" w:eastAsia="en-AU"/>
              </w:rPr>
              <w:t xml:space="preserve">Strategies to overcome them </w:t>
            </w:r>
          </w:p>
          <w:p w:rsidR="003B1AE5" w:rsidRPr="0024662B" w:rsidRDefault="003B1AE5">
            <w:pPr>
              <w:rPr>
                <w:rFonts w:ascii="Tahoma" w:hAnsi="Tahoma" w:cs="Tahoma"/>
                <w:i/>
              </w:rPr>
            </w:pPr>
          </w:p>
        </w:tc>
      </w:tr>
      <w:tr w:rsidR="003B1AE5" w:rsidTr="003B1AE5">
        <w:tc>
          <w:tcPr>
            <w:tcW w:w="4621" w:type="dxa"/>
          </w:tcPr>
          <w:p w:rsidR="003B1AE5" w:rsidRPr="0024662B" w:rsidRDefault="0024662B" w:rsidP="0024662B">
            <w:pPr>
              <w:pStyle w:val="ListParagraph"/>
              <w:numPr>
                <w:ilvl w:val="0"/>
                <w:numId w:val="1"/>
              </w:numPr>
              <w:rPr>
                <w:rFonts w:ascii="Tahoma" w:hAnsi="Tahoma" w:cs="Tahoma"/>
                <w:b/>
              </w:rPr>
            </w:pPr>
            <w:r w:rsidRPr="0024662B">
              <w:rPr>
                <w:rFonts w:ascii="Tahoma" w:hAnsi="Tahoma" w:cs="Tahoma"/>
                <w:b/>
              </w:rPr>
              <w:t xml:space="preserve">Lack of </w:t>
            </w:r>
            <w:r w:rsidR="00467EBD" w:rsidRPr="0024662B">
              <w:rPr>
                <w:rFonts w:ascii="Tahoma" w:hAnsi="Tahoma" w:cs="Tahoma"/>
                <w:b/>
              </w:rPr>
              <w:t>expertise</w:t>
            </w:r>
            <w:r w:rsidRPr="0024662B">
              <w:rPr>
                <w:rFonts w:ascii="Tahoma" w:hAnsi="Tahoma" w:cs="Tahoma"/>
                <w:b/>
              </w:rPr>
              <w:t xml:space="preserve"> in drafting mental health legislation</w:t>
            </w:r>
          </w:p>
        </w:tc>
        <w:tc>
          <w:tcPr>
            <w:tcW w:w="4621" w:type="dxa"/>
          </w:tcPr>
          <w:p w:rsidR="0024662B" w:rsidRPr="0024662B" w:rsidRDefault="0024662B" w:rsidP="0024662B">
            <w:pPr>
              <w:autoSpaceDE w:val="0"/>
              <w:autoSpaceDN w:val="0"/>
              <w:adjustRightInd w:val="0"/>
              <w:rPr>
                <w:rFonts w:ascii="Tahoma" w:hAnsi="Tahoma" w:cs="Tahoma"/>
              </w:rPr>
            </w:pPr>
            <w:r w:rsidRPr="0024662B">
              <w:rPr>
                <w:rFonts w:ascii="Tahoma" w:hAnsi="Tahoma" w:cs="Tahoma"/>
              </w:rPr>
              <w:t>Training of mental health professionals and</w:t>
            </w:r>
          </w:p>
          <w:p w:rsidR="0024662B" w:rsidRPr="0024662B" w:rsidRDefault="0024662B" w:rsidP="0024662B">
            <w:pPr>
              <w:autoSpaceDE w:val="0"/>
              <w:autoSpaceDN w:val="0"/>
              <w:adjustRightInd w:val="0"/>
              <w:rPr>
                <w:rFonts w:ascii="Tahoma" w:hAnsi="Tahoma" w:cs="Tahoma"/>
              </w:rPr>
            </w:pPr>
            <w:r w:rsidRPr="0024662B">
              <w:rPr>
                <w:rFonts w:ascii="Tahoma" w:hAnsi="Tahoma" w:cs="Tahoma"/>
              </w:rPr>
              <w:t>lawyers.</w:t>
            </w:r>
          </w:p>
          <w:p w:rsidR="0024662B" w:rsidRPr="0024662B" w:rsidRDefault="0024662B" w:rsidP="0024662B">
            <w:pPr>
              <w:autoSpaceDE w:val="0"/>
              <w:autoSpaceDN w:val="0"/>
              <w:adjustRightInd w:val="0"/>
              <w:rPr>
                <w:rFonts w:ascii="Tahoma" w:hAnsi="Tahoma" w:cs="Tahoma"/>
              </w:rPr>
            </w:pPr>
            <w:r w:rsidRPr="0024662B">
              <w:rPr>
                <w:rFonts w:ascii="Tahoma" w:hAnsi="Tahoma" w:cs="Tahoma"/>
              </w:rPr>
              <w:t>Technical support from WHO and</w:t>
            </w:r>
          </w:p>
          <w:p w:rsidR="003B1AE5" w:rsidRDefault="0024662B" w:rsidP="0024662B">
            <w:pPr>
              <w:rPr>
                <w:rFonts w:ascii="Tahoma" w:hAnsi="Tahoma" w:cs="Tahoma"/>
              </w:rPr>
            </w:pPr>
            <w:r w:rsidRPr="0024662B">
              <w:rPr>
                <w:rFonts w:ascii="Tahoma" w:hAnsi="Tahoma" w:cs="Tahoma"/>
              </w:rPr>
              <w:t>international experts</w:t>
            </w:r>
            <w:r w:rsidR="00227224">
              <w:rPr>
                <w:rFonts w:ascii="Tahoma" w:hAnsi="Tahoma" w:cs="Tahoma"/>
              </w:rPr>
              <w:t>.</w:t>
            </w:r>
          </w:p>
          <w:p w:rsidR="00227224" w:rsidRPr="0024662B" w:rsidRDefault="00227224" w:rsidP="0096016F">
            <w:pPr>
              <w:rPr>
                <w:rFonts w:ascii="Tahoma" w:hAnsi="Tahoma" w:cs="Tahoma"/>
              </w:rPr>
            </w:pPr>
            <w:r>
              <w:rPr>
                <w:rFonts w:ascii="Tahoma" w:hAnsi="Tahoma" w:cs="Tahoma"/>
              </w:rPr>
              <w:t xml:space="preserve">The current training of a lawyer and two psychiatrists in International Diploma in Mental Health Law and Human Rights in Pune, India </w:t>
            </w:r>
            <w:r w:rsidR="0096016F">
              <w:rPr>
                <w:rFonts w:ascii="Tahoma" w:hAnsi="Tahoma" w:cs="Tahoma"/>
              </w:rPr>
              <w:t xml:space="preserve">sponsored by WHO country office </w:t>
            </w:r>
            <w:r>
              <w:rPr>
                <w:rFonts w:ascii="Tahoma" w:hAnsi="Tahoma" w:cs="Tahoma"/>
              </w:rPr>
              <w:t xml:space="preserve">is a </w:t>
            </w:r>
            <w:r w:rsidR="0096016F">
              <w:rPr>
                <w:rFonts w:ascii="Tahoma" w:hAnsi="Tahoma" w:cs="Tahoma"/>
              </w:rPr>
              <w:t xml:space="preserve">step in the right direction in </w:t>
            </w:r>
            <w:r>
              <w:rPr>
                <w:rFonts w:ascii="Tahoma" w:hAnsi="Tahoma" w:cs="Tahoma"/>
              </w:rPr>
              <w:t>meeting this shortfall.</w:t>
            </w:r>
          </w:p>
        </w:tc>
      </w:tr>
      <w:tr w:rsidR="003B1AE5" w:rsidTr="003B1AE5">
        <w:tc>
          <w:tcPr>
            <w:tcW w:w="4621" w:type="dxa"/>
          </w:tcPr>
          <w:p w:rsidR="0024662B" w:rsidRPr="00467EBD" w:rsidRDefault="0024662B" w:rsidP="00467EBD">
            <w:pPr>
              <w:pStyle w:val="ListParagraph"/>
              <w:numPr>
                <w:ilvl w:val="0"/>
                <w:numId w:val="1"/>
              </w:numPr>
              <w:autoSpaceDE w:val="0"/>
              <w:autoSpaceDN w:val="0"/>
              <w:adjustRightInd w:val="0"/>
              <w:rPr>
                <w:rFonts w:ascii="Tahoma" w:hAnsi="Tahoma" w:cs="Tahoma"/>
                <w:b/>
              </w:rPr>
            </w:pPr>
            <w:r w:rsidRPr="00467EBD">
              <w:rPr>
                <w:rFonts w:ascii="Tahoma" w:hAnsi="Tahoma" w:cs="Tahoma"/>
                <w:b/>
              </w:rPr>
              <w:t>Low priority to mental health legislation</w:t>
            </w:r>
          </w:p>
          <w:p w:rsidR="0024662B" w:rsidRPr="0024662B" w:rsidRDefault="0024662B" w:rsidP="0024662B">
            <w:pPr>
              <w:autoSpaceDE w:val="0"/>
              <w:autoSpaceDN w:val="0"/>
              <w:adjustRightInd w:val="0"/>
              <w:rPr>
                <w:rFonts w:ascii="Tahoma" w:hAnsi="Tahoma" w:cs="Tahoma"/>
                <w:b/>
              </w:rPr>
            </w:pPr>
            <w:r w:rsidRPr="0024662B">
              <w:rPr>
                <w:rFonts w:ascii="Tahoma" w:hAnsi="Tahoma" w:cs="Tahoma"/>
                <w:b/>
              </w:rPr>
              <w:t>by government, parliament and sectors</w:t>
            </w:r>
          </w:p>
          <w:p w:rsidR="003B1AE5" w:rsidRPr="00467EBD" w:rsidRDefault="0024662B" w:rsidP="00467EBD">
            <w:pPr>
              <w:rPr>
                <w:rFonts w:ascii="Tahoma" w:hAnsi="Tahoma" w:cs="Tahoma"/>
                <w:b/>
              </w:rPr>
            </w:pPr>
            <w:r w:rsidRPr="00467EBD">
              <w:rPr>
                <w:rFonts w:ascii="Tahoma" w:hAnsi="Tahoma" w:cs="Tahoma"/>
                <w:b/>
              </w:rPr>
              <w:t>outside the health sector.</w:t>
            </w:r>
          </w:p>
        </w:tc>
        <w:tc>
          <w:tcPr>
            <w:tcW w:w="4621" w:type="dxa"/>
          </w:tcPr>
          <w:p w:rsidR="0024662B" w:rsidRPr="0024662B" w:rsidRDefault="0024662B" w:rsidP="0024662B">
            <w:pPr>
              <w:autoSpaceDE w:val="0"/>
              <w:autoSpaceDN w:val="0"/>
              <w:adjustRightInd w:val="0"/>
              <w:rPr>
                <w:rFonts w:ascii="Tahoma" w:hAnsi="Tahoma" w:cs="Tahoma"/>
              </w:rPr>
            </w:pPr>
            <w:r w:rsidRPr="0024662B">
              <w:rPr>
                <w:rFonts w:ascii="Tahoma" w:hAnsi="Tahoma" w:cs="Tahoma"/>
              </w:rPr>
              <w:t>Empowerment of organizations of consumers,</w:t>
            </w:r>
            <w:r w:rsidR="00227224">
              <w:rPr>
                <w:rFonts w:ascii="Tahoma" w:hAnsi="Tahoma" w:cs="Tahoma"/>
              </w:rPr>
              <w:t xml:space="preserve"> </w:t>
            </w:r>
            <w:r w:rsidRPr="0024662B">
              <w:rPr>
                <w:rFonts w:ascii="Tahoma" w:hAnsi="Tahoma" w:cs="Tahoma"/>
              </w:rPr>
              <w:t>families and other advocacy groups.</w:t>
            </w:r>
            <w:r w:rsidR="0096016F">
              <w:rPr>
                <w:rFonts w:ascii="Tahoma" w:hAnsi="Tahoma" w:cs="Tahoma"/>
              </w:rPr>
              <w:t xml:space="preserve"> Although these groups </w:t>
            </w:r>
            <w:r w:rsidR="005C38C1">
              <w:rPr>
                <w:rFonts w:ascii="Tahoma" w:hAnsi="Tahoma" w:cs="Tahoma"/>
              </w:rPr>
              <w:t xml:space="preserve">are </w:t>
            </w:r>
            <w:r w:rsidR="000D70CE">
              <w:rPr>
                <w:rFonts w:ascii="Tahoma" w:hAnsi="Tahoma" w:cs="Tahoma"/>
              </w:rPr>
              <w:t>non-existent</w:t>
            </w:r>
            <w:r w:rsidR="005C38C1">
              <w:rPr>
                <w:rFonts w:ascii="Tahoma" w:hAnsi="Tahoma" w:cs="Tahoma"/>
              </w:rPr>
              <w:t xml:space="preserve"> in PNG</w:t>
            </w:r>
            <w:r w:rsidR="0096016F">
              <w:rPr>
                <w:rFonts w:ascii="Tahoma" w:hAnsi="Tahoma" w:cs="Tahoma"/>
              </w:rPr>
              <w:t xml:space="preserve">, legislation can encourage greater participation of these groups who will advocate for </w:t>
            </w:r>
            <w:r w:rsidR="005C38C1">
              <w:rPr>
                <w:rFonts w:ascii="Tahoma" w:hAnsi="Tahoma" w:cs="Tahoma"/>
              </w:rPr>
              <w:t xml:space="preserve">more prominence to given to enacting </w:t>
            </w:r>
            <w:r w:rsidR="000D70CE">
              <w:rPr>
                <w:rFonts w:ascii="Tahoma" w:hAnsi="Tahoma" w:cs="Tahoma"/>
              </w:rPr>
              <w:t>human rights oriented legislation.</w:t>
            </w:r>
          </w:p>
          <w:p w:rsidR="0024662B" w:rsidRPr="0024662B" w:rsidRDefault="0024662B" w:rsidP="0024662B">
            <w:pPr>
              <w:autoSpaceDE w:val="0"/>
              <w:autoSpaceDN w:val="0"/>
              <w:adjustRightInd w:val="0"/>
              <w:rPr>
                <w:rFonts w:ascii="Tahoma" w:hAnsi="Tahoma" w:cs="Tahoma"/>
              </w:rPr>
            </w:pPr>
            <w:r w:rsidRPr="0024662B">
              <w:rPr>
                <w:rFonts w:ascii="Tahoma" w:hAnsi="Tahoma" w:cs="Tahoma"/>
              </w:rPr>
              <w:t>Lobbying the executive and legislators.</w:t>
            </w:r>
          </w:p>
          <w:p w:rsidR="0024662B" w:rsidRPr="0024662B" w:rsidRDefault="0024662B" w:rsidP="0024662B">
            <w:pPr>
              <w:autoSpaceDE w:val="0"/>
              <w:autoSpaceDN w:val="0"/>
              <w:adjustRightInd w:val="0"/>
              <w:rPr>
                <w:rFonts w:ascii="Tahoma" w:hAnsi="Tahoma" w:cs="Tahoma"/>
              </w:rPr>
            </w:pPr>
            <w:r w:rsidRPr="0024662B">
              <w:rPr>
                <w:rFonts w:ascii="Tahoma" w:hAnsi="Tahoma" w:cs="Tahoma"/>
              </w:rPr>
              <w:t>Informing human right violations of people</w:t>
            </w:r>
          </w:p>
          <w:p w:rsidR="0024662B" w:rsidRPr="0024662B" w:rsidRDefault="0024662B" w:rsidP="0024662B">
            <w:pPr>
              <w:autoSpaceDE w:val="0"/>
              <w:autoSpaceDN w:val="0"/>
              <w:adjustRightInd w:val="0"/>
              <w:rPr>
                <w:rFonts w:ascii="Tahoma" w:hAnsi="Tahoma" w:cs="Tahoma"/>
              </w:rPr>
            </w:pPr>
            <w:r w:rsidRPr="0024662B">
              <w:rPr>
                <w:rFonts w:ascii="Tahoma" w:hAnsi="Tahoma" w:cs="Tahoma"/>
              </w:rPr>
              <w:t>with mental disorders through the mass</w:t>
            </w:r>
          </w:p>
          <w:p w:rsidR="0024662B" w:rsidRPr="0024662B" w:rsidRDefault="0024662B" w:rsidP="0024662B">
            <w:pPr>
              <w:autoSpaceDE w:val="0"/>
              <w:autoSpaceDN w:val="0"/>
              <w:adjustRightInd w:val="0"/>
              <w:rPr>
                <w:rFonts w:ascii="Tahoma" w:hAnsi="Tahoma" w:cs="Tahoma"/>
              </w:rPr>
            </w:pPr>
            <w:r w:rsidRPr="0024662B">
              <w:rPr>
                <w:rFonts w:ascii="Tahoma" w:hAnsi="Tahoma" w:cs="Tahoma"/>
              </w:rPr>
              <w:t>media.</w:t>
            </w:r>
          </w:p>
          <w:p w:rsidR="0024662B" w:rsidRPr="0024662B" w:rsidRDefault="0024662B" w:rsidP="0024662B">
            <w:pPr>
              <w:autoSpaceDE w:val="0"/>
              <w:autoSpaceDN w:val="0"/>
              <w:adjustRightInd w:val="0"/>
              <w:rPr>
                <w:rFonts w:ascii="Tahoma" w:hAnsi="Tahoma" w:cs="Tahoma"/>
              </w:rPr>
            </w:pPr>
            <w:r w:rsidRPr="0024662B">
              <w:rPr>
                <w:rFonts w:ascii="Tahoma" w:hAnsi="Tahoma" w:cs="Tahoma"/>
              </w:rPr>
              <w:t>Denouncing human right violations to</w:t>
            </w:r>
          </w:p>
          <w:p w:rsidR="003B1AE5" w:rsidRPr="0024662B" w:rsidRDefault="0024662B" w:rsidP="0024662B">
            <w:pPr>
              <w:rPr>
                <w:rFonts w:ascii="Tahoma" w:hAnsi="Tahoma" w:cs="Tahoma"/>
              </w:rPr>
            </w:pPr>
            <w:r w:rsidRPr="0024662B">
              <w:rPr>
                <w:rFonts w:ascii="Tahoma" w:hAnsi="Tahoma" w:cs="Tahoma"/>
              </w:rPr>
              <w:t>international bodies</w:t>
            </w:r>
            <w:r w:rsidR="00227224">
              <w:rPr>
                <w:rFonts w:ascii="Tahoma" w:hAnsi="Tahoma" w:cs="Tahoma"/>
              </w:rPr>
              <w:t>.</w:t>
            </w:r>
          </w:p>
        </w:tc>
      </w:tr>
      <w:tr w:rsidR="00692288" w:rsidRPr="00B1738D" w:rsidTr="003B1AE5">
        <w:tc>
          <w:tcPr>
            <w:tcW w:w="4621" w:type="dxa"/>
          </w:tcPr>
          <w:p w:rsidR="00692288" w:rsidRPr="00B1738D" w:rsidRDefault="00467EBD" w:rsidP="00467EBD">
            <w:pPr>
              <w:pStyle w:val="ListParagraph"/>
              <w:numPr>
                <w:ilvl w:val="0"/>
                <w:numId w:val="1"/>
              </w:numPr>
              <w:rPr>
                <w:rFonts w:ascii="Tahoma" w:hAnsi="Tahoma" w:cs="Tahoma"/>
                <w:b/>
              </w:rPr>
            </w:pPr>
            <w:r w:rsidRPr="00B1738D">
              <w:rPr>
                <w:rFonts w:ascii="Tahoma" w:hAnsi="Tahoma" w:cs="Tahoma"/>
                <w:b/>
              </w:rPr>
              <w:t>Lack of an overside agency  and procedures for implementation</w:t>
            </w:r>
          </w:p>
        </w:tc>
        <w:tc>
          <w:tcPr>
            <w:tcW w:w="4621" w:type="dxa"/>
          </w:tcPr>
          <w:p w:rsidR="00E25575" w:rsidRDefault="00E25575" w:rsidP="00E25575">
            <w:pPr>
              <w:autoSpaceDE w:val="0"/>
              <w:autoSpaceDN w:val="0"/>
              <w:adjustRightInd w:val="0"/>
              <w:rPr>
                <w:rFonts w:ascii="PalatinoLinotype-Roman" w:hAnsi="PalatinoLinotype-Roman" w:cs="PalatinoLinotype-Roman"/>
                <w:sz w:val="24"/>
                <w:szCs w:val="24"/>
              </w:rPr>
            </w:pPr>
            <w:r>
              <w:rPr>
                <w:rFonts w:ascii="PalatinoLinotype-Roman" w:hAnsi="PalatinoLinotype-Roman" w:cs="PalatinoLinotype-Roman"/>
                <w:sz w:val="24"/>
                <w:szCs w:val="24"/>
              </w:rPr>
              <w:t>Monitoring mechanisms  ensure that</w:t>
            </w:r>
          </w:p>
          <w:p w:rsidR="00E25575" w:rsidRDefault="00E25575" w:rsidP="00E25575">
            <w:pPr>
              <w:autoSpaceDE w:val="0"/>
              <w:autoSpaceDN w:val="0"/>
              <w:adjustRightInd w:val="0"/>
              <w:rPr>
                <w:rFonts w:ascii="PalatinoLinotype-Roman" w:hAnsi="PalatinoLinotype-Roman" w:cs="PalatinoLinotype-Roman"/>
                <w:sz w:val="24"/>
                <w:szCs w:val="24"/>
              </w:rPr>
            </w:pPr>
            <w:r>
              <w:rPr>
                <w:rFonts w:ascii="PalatinoLinotype-Roman" w:hAnsi="PalatinoLinotype-Roman" w:cs="PalatinoLinotype-Roman"/>
                <w:sz w:val="24"/>
                <w:szCs w:val="24"/>
              </w:rPr>
              <w:t xml:space="preserve">people’s rights are implemented in </w:t>
            </w:r>
            <w:r>
              <w:rPr>
                <w:rFonts w:ascii="PalatinoLinotype-Roman" w:hAnsi="PalatinoLinotype-Roman" w:cs="PalatinoLinotype-Roman"/>
                <w:sz w:val="24"/>
                <w:szCs w:val="24"/>
              </w:rPr>
              <w:lastRenderedPageBreak/>
              <w:t>practice. Moreover, where people are</w:t>
            </w:r>
          </w:p>
          <w:p w:rsidR="00227224" w:rsidRDefault="00E25575" w:rsidP="00494914">
            <w:pPr>
              <w:autoSpaceDE w:val="0"/>
              <w:autoSpaceDN w:val="0"/>
              <w:adjustRightInd w:val="0"/>
              <w:rPr>
                <w:rFonts w:ascii="PalatinoLinotype-Roman" w:hAnsi="PalatinoLinotype-Roman" w:cs="PalatinoLinotype-Roman"/>
                <w:sz w:val="24"/>
                <w:szCs w:val="24"/>
              </w:rPr>
            </w:pPr>
            <w:r>
              <w:rPr>
                <w:rFonts w:ascii="PalatinoLinotype-Roman" w:hAnsi="PalatinoLinotype-Roman" w:cs="PalatinoLinotype-Roman"/>
                <w:sz w:val="24"/>
                <w:szCs w:val="24"/>
              </w:rPr>
              <w:t>admitted to facilities and treated without their informed consent, it is</w:t>
            </w:r>
            <w:r w:rsidR="00494914">
              <w:rPr>
                <w:rFonts w:ascii="PalatinoLinotype-Roman" w:hAnsi="PalatinoLinotype-Roman" w:cs="PalatinoLinotype-Roman"/>
                <w:sz w:val="24"/>
                <w:szCs w:val="24"/>
              </w:rPr>
              <w:t xml:space="preserve"> </w:t>
            </w:r>
            <w:r>
              <w:rPr>
                <w:rFonts w:ascii="PalatinoLinotype-Roman" w:hAnsi="PalatinoLinotype-Roman" w:cs="PalatinoLinotype-Roman"/>
                <w:sz w:val="24"/>
                <w:szCs w:val="24"/>
              </w:rPr>
              <w:t>necessary that each case be individually considered and that decisions based</w:t>
            </w:r>
            <w:r w:rsidR="00494914">
              <w:rPr>
                <w:rFonts w:ascii="PalatinoLinotype-Roman" w:hAnsi="PalatinoLinotype-Roman" w:cs="PalatinoLinotype-Roman"/>
                <w:sz w:val="24"/>
                <w:szCs w:val="24"/>
              </w:rPr>
              <w:t xml:space="preserve"> </w:t>
            </w:r>
            <w:r>
              <w:rPr>
                <w:rFonts w:ascii="PalatinoLinotype-Roman" w:hAnsi="PalatinoLinotype-Roman" w:cs="PalatinoLinotype-Roman"/>
                <w:sz w:val="24"/>
                <w:szCs w:val="24"/>
              </w:rPr>
              <w:t xml:space="preserve">on sound human rights principles are made. </w:t>
            </w:r>
          </w:p>
          <w:p w:rsidR="00692288" w:rsidRPr="00B1738D" w:rsidRDefault="00E25575" w:rsidP="000D70CE">
            <w:pPr>
              <w:autoSpaceDE w:val="0"/>
              <w:autoSpaceDN w:val="0"/>
              <w:adjustRightInd w:val="0"/>
              <w:rPr>
                <w:rFonts w:ascii="Tahoma" w:hAnsi="Tahoma" w:cs="Tahoma"/>
              </w:rPr>
            </w:pPr>
            <w:r>
              <w:rPr>
                <w:rFonts w:ascii="PalatinoLinotype-Roman" w:hAnsi="PalatinoLinotype-Roman" w:cs="PalatinoLinotype-Roman"/>
                <w:sz w:val="24"/>
                <w:szCs w:val="24"/>
              </w:rPr>
              <w:t>Mechanisms need to be set up in</w:t>
            </w:r>
            <w:r w:rsidR="00494914">
              <w:rPr>
                <w:rFonts w:ascii="PalatinoLinotype-Roman" w:hAnsi="PalatinoLinotype-Roman" w:cs="PalatinoLinotype-Roman"/>
                <w:sz w:val="24"/>
                <w:szCs w:val="24"/>
              </w:rPr>
              <w:t xml:space="preserve"> legislation</w:t>
            </w:r>
            <w:r>
              <w:rPr>
                <w:rFonts w:ascii="PalatinoLinotype-Roman" w:hAnsi="PalatinoLinotype-Roman" w:cs="PalatinoLinotype-Roman"/>
                <w:sz w:val="24"/>
                <w:szCs w:val="24"/>
              </w:rPr>
              <w:t xml:space="preserve"> to do this.</w:t>
            </w:r>
            <w:r w:rsidR="00494914">
              <w:rPr>
                <w:rFonts w:ascii="PalatinoLinotype-Roman" w:hAnsi="PalatinoLinotype-Roman" w:cs="PalatinoLinotype-Roman"/>
                <w:sz w:val="24"/>
                <w:szCs w:val="24"/>
              </w:rPr>
              <w:t xml:space="preserve"> In PNG despite provisions for overside/monitoring in the Public Health Act 1973, lack of </w:t>
            </w:r>
            <w:r w:rsidR="00227224">
              <w:rPr>
                <w:rFonts w:ascii="PalatinoLinotype-Roman" w:hAnsi="PalatinoLinotype-Roman" w:cs="PalatinoLinotype-Roman"/>
                <w:sz w:val="24"/>
                <w:szCs w:val="24"/>
              </w:rPr>
              <w:t xml:space="preserve">Mental Health Tribunal and Guardianship Tribunal </w:t>
            </w:r>
            <w:r w:rsidR="000D70CE">
              <w:rPr>
                <w:rFonts w:ascii="PalatinoLinotype-Roman" w:hAnsi="PalatinoLinotype-Roman" w:cs="PalatinoLinotype-Roman"/>
                <w:sz w:val="24"/>
                <w:szCs w:val="24"/>
              </w:rPr>
              <w:t xml:space="preserve">and other monitoring bodies has </w:t>
            </w:r>
            <w:bookmarkStart w:id="0" w:name="_GoBack"/>
            <w:bookmarkEnd w:id="0"/>
            <w:r w:rsidR="00494914">
              <w:rPr>
                <w:rFonts w:ascii="PalatinoLinotype-Roman" w:hAnsi="PalatinoLinotype-Roman" w:cs="PalatinoLinotype-Roman"/>
                <w:sz w:val="24"/>
                <w:szCs w:val="24"/>
              </w:rPr>
              <w:t xml:space="preserve">made implementation difficult. </w:t>
            </w:r>
            <w:r w:rsidR="000D70CE">
              <w:rPr>
                <w:rFonts w:ascii="PalatinoLinotype-Roman" w:hAnsi="PalatinoLinotype-Roman" w:cs="PalatinoLinotype-Roman"/>
                <w:sz w:val="24"/>
                <w:szCs w:val="24"/>
              </w:rPr>
              <w:t>If legislated it can make provisions for allocation of resources such as manpower, facilities etc. to implement these legislations.</w:t>
            </w:r>
          </w:p>
        </w:tc>
      </w:tr>
    </w:tbl>
    <w:p w:rsidR="00467EBD" w:rsidRDefault="00467EBD" w:rsidP="00940F58">
      <w:pPr>
        <w:shd w:val="clear" w:color="auto" w:fill="FFFFFF"/>
        <w:spacing w:after="0" w:line="240" w:lineRule="auto"/>
        <w:rPr>
          <w:rFonts w:ascii="Verdana" w:eastAsia="Times New Roman" w:hAnsi="Verdana" w:cs="Times New Roman"/>
          <w:b/>
          <w:bCs/>
          <w:sz w:val="24"/>
          <w:szCs w:val="24"/>
          <w:lang w:val="en-GB" w:eastAsia="en-AU"/>
        </w:rPr>
      </w:pPr>
    </w:p>
    <w:sectPr w:rsidR="00467EBD">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8C1" w:rsidRDefault="005C38C1" w:rsidP="00467EBD">
      <w:pPr>
        <w:spacing w:after="0" w:line="240" w:lineRule="auto"/>
      </w:pPr>
      <w:r>
        <w:separator/>
      </w:r>
    </w:p>
  </w:endnote>
  <w:endnote w:type="continuationSeparator" w:id="0">
    <w:p w:rsidR="005C38C1" w:rsidRDefault="005C38C1" w:rsidP="00467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PalatinoLinotype-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9238706"/>
      <w:docPartObj>
        <w:docPartGallery w:val="Page Numbers (Bottom of Page)"/>
        <w:docPartUnique/>
      </w:docPartObj>
    </w:sdtPr>
    <w:sdtEndPr>
      <w:rPr>
        <w:color w:val="808080" w:themeColor="background1" w:themeShade="80"/>
        <w:spacing w:val="60"/>
      </w:rPr>
    </w:sdtEndPr>
    <w:sdtContent>
      <w:p w:rsidR="005C38C1" w:rsidRDefault="005C38C1">
        <w:pPr>
          <w:pStyle w:val="Footer"/>
          <w:pBdr>
            <w:top w:val="single" w:sz="4" w:space="1" w:color="D9D9D9" w:themeColor="background1" w:themeShade="D9"/>
          </w:pBdr>
          <w:jc w:val="right"/>
        </w:pPr>
        <w:r>
          <w:fldChar w:fldCharType="begin"/>
        </w:r>
        <w:r>
          <w:instrText xml:space="preserve"> PAGE   \* MERGEFORMAT </w:instrText>
        </w:r>
        <w:r>
          <w:fldChar w:fldCharType="separate"/>
        </w:r>
        <w:r w:rsidR="000D70CE">
          <w:rPr>
            <w:noProof/>
          </w:rPr>
          <w:t>3</w:t>
        </w:r>
        <w:r>
          <w:rPr>
            <w:noProof/>
          </w:rPr>
          <w:fldChar w:fldCharType="end"/>
        </w:r>
        <w:r>
          <w:t xml:space="preserve"> | </w:t>
        </w:r>
        <w:r>
          <w:rPr>
            <w:color w:val="808080" w:themeColor="background1" w:themeShade="80"/>
            <w:spacing w:val="60"/>
          </w:rPr>
          <w:t>Page</w:t>
        </w:r>
      </w:p>
    </w:sdtContent>
  </w:sdt>
  <w:p w:rsidR="005C38C1" w:rsidRDefault="005C38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8C1" w:rsidRDefault="005C38C1" w:rsidP="00467EBD">
      <w:pPr>
        <w:spacing w:after="0" w:line="240" w:lineRule="auto"/>
      </w:pPr>
      <w:r>
        <w:separator/>
      </w:r>
    </w:p>
  </w:footnote>
  <w:footnote w:type="continuationSeparator" w:id="0">
    <w:p w:rsidR="005C38C1" w:rsidRDefault="005C38C1" w:rsidP="00467E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8C1" w:rsidRDefault="005C38C1">
    <w:pPr>
      <w:pStyle w:val="Header"/>
    </w:pPr>
    <w:r>
      <w:t>MODULE 10</w:t>
    </w:r>
    <w:r w:rsidRPr="00467EBD">
      <w:t xml:space="preserve"> </w:t>
    </w:r>
    <w:r>
      <w:t>ASSIGNMENT</w:t>
    </w:r>
    <w:r>
      <w:tab/>
    </w:r>
    <w:r>
      <w:tab/>
    </w:r>
    <w:r w:rsidRPr="00467EBD">
      <w:t>LUDWIG NANAWAR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B4E9B"/>
    <w:multiLevelType w:val="hybridMultilevel"/>
    <w:tmpl w:val="BB58CA62"/>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nsid w:val="0D9A7D56"/>
    <w:multiLevelType w:val="hybridMultilevel"/>
    <w:tmpl w:val="564E89E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nsid w:val="33004212"/>
    <w:multiLevelType w:val="hybridMultilevel"/>
    <w:tmpl w:val="D9DA1F2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83B"/>
    <w:rsid w:val="000512A8"/>
    <w:rsid w:val="000B4F05"/>
    <w:rsid w:val="000D70CE"/>
    <w:rsid w:val="001F783B"/>
    <w:rsid w:val="00227224"/>
    <w:rsid w:val="0024662B"/>
    <w:rsid w:val="003B1AE5"/>
    <w:rsid w:val="00467EBD"/>
    <w:rsid w:val="00494914"/>
    <w:rsid w:val="005C38C1"/>
    <w:rsid w:val="00692288"/>
    <w:rsid w:val="0080538D"/>
    <w:rsid w:val="00875E57"/>
    <w:rsid w:val="008949D7"/>
    <w:rsid w:val="00940F58"/>
    <w:rsid w:val="0096016F"/>
    <w:rsid w:val="00964B02"/>
    <w:rsid w:val="00AB45EE"/>
    <w:rsid w:val="00B1738D"/>
    <w:rsid w:val="00BE0C12"/>
    <w:rsid w:val="00C574CD"/>
    <w:rsid w:val="00D440C7"/>
    <w:rsid w:val="00E25575"/>
    <w:rsid w:val="00FF25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qFormat/>
    <w:rsid w:val="00AB45EE"/>
    <w:pPr>
      <w:spacing w:before="100" w:beforeAutospacing="1" w:after="100" w:afterAutospacing="1" w:line="240" w:lineRule="auto"/>
      <w:outlineLvl w:val="4"/>
    </w:pPr>
    <w:rPr>
      <w:rFonts w:ascii="Times New Roman" w:eastAsia="Times New Roman" w:hAnsi="Times New Roman"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1A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4662B"/>
    <w:pPr>
      <w:ind w:left="720"/>
      <w:contextualSpacing/>
    </w:pPr>
  </w:style>
  <w:style w:type="paragraph" w:styleId="Header">
    <w:name w:val="header"/>
    <w:basedOn w:val="Normal"/>
    <w:link w:val="HeaderChar"/>
    <w:uiPriority w:val="99"/>
    <w:unhideWhenUsed/>
    <w:rsid w:val="00467E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7EBD"/>
  </w:style>
  <w:style w:type="paragraph" w:styleId="Footer">
    <w:name w:val="footer"/>
    <w:basedOn w:val="Normal"/>
    <w:link w:val="FooterChar"/>
    <w:uiPriority w:val="99"/>
    <w:unhideWhenUsed/>
    <w:rsid w:val="00467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7EBD"/>
  </w:style>
  <w:style w:type="character" w:customStyle="1" w:styleId="Heading5Char">
    <w:name w:val="Heading 5 Char"/>
    <w:basedOn w:val="DefaultParagraphFont"/>
    <w:link w:val="Heading5"/>
    <w:rsid w:val="00AB45EE"/>
    <w:rPr>
      <w:rFonts w:ascii="Times New Roman" w:eastAsia="Times New Roman" w:hAnsi="Times New Roman" w:cs="Times New Roman"/>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qFormat/>
    <w:rsid w:val="00AB45EE"/>
    <w:pPr>
      <w:spacing w:before="100" w:beforeAutospacing="1" w:after="100" w:afterAutospacing="1" w:line="240" w:lineRule="auto"/>
      <w:outlineLvl w:val="4"/>
    </w:pPr>
    <w:rPr>
      <w:rFonts w:ascii="Times New Roman" w:eastAsia="Times New Roman" w:hAnsi="Times New Roman"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1A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4662B"/>
    <w:pPr>
      <w:ind w:left="720"/>
      <w:contextualSpacing/>
    </w:pPr>
  </w:style>
  <w:style w:type="paragraph" w:styleId="Header">
    <w:name w:val="header"/>
    <w:basedOn w:val="Normal"/>
    <w:link w:val="HeaderChar"/>
    <w:uiPriority w:val="99"/>
    <w:unhideWhenUsed/>
    <w:rsid w:val="00467E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7EBD"/>
  </w:style>
  <w:style w:type="paragraph" w:styleId="Footer">
    <w:name w:val="footer"/>
    <w:basedOn w:val="Normal"/>
    <w:link w:val="FooterChar"/>
    <w:uiPriority w:val="99"/>
    <w:unhideWhenUsed/>
    <w:rsid w:val="00467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7EBD"/>
  </w:style>
  <w:style w:type="character" w:customStyle="1" w:styleId="Heading5Char">
    <w:name w:val="Heading 5 Char"/>
    <w:basedOn w:val="DefaultParagraphFont"/>
    <w:link w:val="Heading5"/>
    <w:rsid w:val="00AB45EE"/>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695247">
      <w:bodyDiv w:val="1"/>
      <w:marLeft w:val="168"/>
      <w:marRight w:val="168"/>
      <w:marTop w:val="0"/>
      <w:marBottom w:val="0"/>
      <w:divBdr>
        <w:top w:val="none" w:sz="0" w:space="0" w:color="auto"/>
        <w:left w:val="none" w:sz="0" w:space="0" w:color="auto"/>
        <w:bottom w:val="none" w:sz="0" w:space="0" w:color="auto"/>
        <w:right w:val="none" w:sz="0" w:space="0" w:color="auto"/>
      </w:divBdr>
      <w:divsChild>
        <w:div w:id="986545892">
          <w:marLeft w:val="0"/>
          <w:marRight w:val="0"/>
          <w:marTop w:val="0"/>
          <w:marBottom w:val="0"/>
          <w:divBdr>
            <w:top w:val="none" w:sz="0" w:space="0" w:color="auto"/>
            <w:left w:val="single" w:sz="12" w:space="0" w:color="FFFFFF"/>
            <w:bottom w:val="none" w:sz="0" w:space="0" w:color="auto"/>
            <w:right w:val="single" w:sz="12" w:space="0" w:color="FFFFFF"/>
          </w:divBdr>
          <w:divsChild>
            <w:div w:id="403839326">
              <w:marLeft w:val="180"/>
              <w:marRight w:val="180"/>
              <w:marTop w:val="0"/>
              <w:marBottom w:val="0"/>
              <w:divBdr>
                <w:top w:val="none" w:sz="0" w:space="0" w:color="auto"/>
                <w:left w:val="none" w:sz="0" w:space="0" w:color="auto"/>
                <w:bottom w:val="none" w:sz="0" w:space="0" w:color="auto"/>
                <w:right w:val="none" w:sz="0" w:space="0" w:color="auto"/>
              </w:divBdr>
              <w:divsChild>
                <w:div w:id="75979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006552">
      <w:bodyDiv w:val="1"/>
      <w:marLeft w:val="168"/>
      <w:marRight w:val="168"/>
      <w:marTop w:val="0"/>
      <w:marBottom w:val="0"/>
      <w:divBdr>
        <w:top w:val="none" w:sz="0" w:space="0" w:color="auto"/>
        <w:left w:val="none" w:sz="0" w:space="0" w:color="auto"/>
        <w:bottom w:val="none" w:sz="0" w:space="0" w:color="auto"/>
        <w:right w:val="none" w:sz="0" w:space="0" w:color="auto"/>
      </w:divBdr>
      <w:divsChild>
        <w:div w:id="1312366529">
          <w:marLeft w:val="0"/>
          <w:marRight w:val="0"/>
          <w:marTop w:val="0"/>
          <w:marBottom w:val="0"/>
          <w:divBdr>
            <w:top w:val="none" w:sz="0" w:space="0" w:color="auto"/>
            <w:left w:val="single" w:sz="12" w:space="0" w:color="FFFFFF"/>
            <w:bottom w:val="none" w:sz="0" w:space="0" w:color="auto"/>
            <w:right w:val="single" w:sz="12" w:space="0" w:color="FFFFFF"/>
          </w:divBdr>
          <w:divsChild>
            <w:div w:id="152454591">
              <w:marLeft w:val="180"/>
              <w:marRight w:val="180"/>
              <w:marTop w:val="0"/>
              <w:marBottom w:val="0"/>
              <w:divBdr>
                <w:top w:val="none" w:sz="0" w:space="0" w:color="auto"/>
                <w:left w:val="none" w:sz="0" w:space="0" w:color="auto"/>
                <w:bottom w:val="none" w:sz="0" w:space="0" w:color="auto"/>
                <w:right w:val="none" w:sz="0" w:space="0" w:color="auto"/>
              </w:divBdr>
              <w:divsChild>
                <w:div w:id="33692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594</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New South Wales</Company>
  <LinksUpToDate>false</LinksUpToDate>
  <CharactersWithSpaces>3973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Ludwig Nanawar</dc:creator>
  <cp:lastModifiedBy>Ludwig Nanawar</cp:lastModifiedBy>
  <cp:revision>2</cp:revision>
  <dcterms:created xsi:type="dcterms:W3CDTF">2012-07-26T06:53:00Z</dcterms:created>
  <dcterms:modified xsi:type="dcterms:W3CDTF">2012-07-26T06:53:00Z</dcterms:modified>
</cp:coreProperties>
</file>