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D1F" w:rsidRPr="003F239D" w:rsidRDefault="00831D1F" w:rsidP="003F239D">
      <w:pPr>
        <w:spacing w:after="0"/>
        <w:jc w:val="center"/>
        <w:rPr>
          <w:rFonts w:ascii="Cambria" w:hAnsi="Cambria" w:cs="Calibri"/>
          <w:b/>
          <w:sz w:val="24"/>
          <w:szCs w:val="24"/>
        </w:rPr>
      </w:pPr>
      <w:r w:rsidRPr="003F239D">
        <w:rPr>
          <w:rFonts w:ascii="Cambria" w:hAnsi="Cambria" w:cs="Calibri"/>
          <w:b/>
          <w:sz w:val="24"/>
          <w:szCs w:val="24"/>
        </w:rPr>
        <w:t>RIGHT TO LEGAL CAPACITY</w:t>
      </w:r>
    </w:p>
    <w:p w:rsidR="00831D1F" w:rsidRPr="003F239D" w:rsidRDefault="00831D1F" w:rsidP="003F239D">
      <w:pPr>
        <w:spacing w:after="0"/>
        <w:jc w:val="both"/>
        <w:rPr>
          <w:rFonts w:ascii="Cambria" w:hAnsi="Cambria" w:cs="Calibri"/>
          <w:b/>
          <w:sz w:val="24"/>
          <w:szCs w:val="24"/>
          <w:u w:val="single"/>
        </w:rPr>
      </w:pPr>
    </w:p>
    <w:p w:rsidR="00831D1F" w:rsidRPr="003F239D" w:rsidRDefault="00831D1F" w:rsidP="003F239D">
      <w:pPr>
        <w:pStyle w:val="ListParagraph"/>
        <w:numPr>
          <w:ilvl w:val="0"/>
          <w:numId w:val="2"/>
        </w:numPr>
        <w:spacing w:after="0"/>
        <w:jc w:val="both"/>
        <w:rPr>
          <w:rFonts w:ascii="Cambria" w:hAnsi="Cambria" w:cs="Calibri"/>
          <w:b/>
          <w:sz w:val="24"/>
          <w:szCs w:val="24"/>
          <w:u w:val="single"/>
        </w:rPr>
      </w:pPr>
      <w:r w:rsidRPr="003F239D">
        <w:rPr>
          <w:rFonts w:ascii="Cambria" w:hAnsi="Cambria" w:cs="Calibri"/>
          <w:b/>
          <w:sz w:val="24"/>
          <w:szCs w:val="24"/>
          <w:u w:val="single"/>
        </w:rPr>
        <w:t>EXECUTIVE SUMMARY</w:t>
      </w:r>
    </w:p>
    <w:p w:rsidR="00831D1F" w:rsidRPr="003F239D" w:rsidRDefault="00831D1F" w:rsidP="003F239D">
      <w:pPr>
        <w:pStyle w:val="ListParagraph"/>
        <w:spacing w:after="0"/>
        <w:jc w:val="both"/>
        <w:rPr>
          <w:rFonts w:ascii="Cambria" w:hAnsi="Cambria" w:cs="Calibri"/>
          <w:b/>
          <w:sz w:val="24"/>
          <w:szCs w:val="24"/>
        </w:rPr>
      </w:pPr>
    </w:p>
    <w:p w:rsidR="00831D1F" w:rsidRPr="003F239D" w:rsidRDefault="00831D1F" w:rsidP="003F239D">
      <w:pPr>
        <w:spacing w:after="0"/>
        <w:jc w:val="both"/>
        <w:rPr>
          <w:rFonts w:ascii="Cambria" w:hAnsi="Cambria" w:cs="Calibri"/>
          <w:b/>
          <w:sz w:val="24"/>
          <w:szCs w:val="24"/>
        </w:rPr>
      </w:pPr>
      <w:r w:rsidRPr="003F239D">
        <w:rPr>
          <w:rFonts w:ascii="Cambria" w:hAnsi="Cambria" w:cs="Calibri"/>
          <w:b/>
          <w:sz w:val="24"/>
          <w:szCs w:val="24"/>
        </w:rPr>
        <w:t>Legal Capacity</w:t>
      </w:r>
    </w:p>
    <w:p w:rsidR="00831D1F" w:rsidRPr="003F239D" w:rsidRDefault="00831D1F" w:rsidP="003F239D">
      <w:pPr>
        <w:numPr>
          <w:ilvl w:val="0"/>
          <w:numId w:val="5"/>
        </w:numPr>
        <w:spacing w:after="0" w:line="240" w:lineRule="auto"/>
        <w:jc w:val="both"/>
        <w:rPr>
          <w:rFonts w:ascii="Cambria" w:hAnsi="Cambria" w:cs="Calibri"/>
          <w:sz w:val="24"/>
          <w:szCs w:val="24"/>
        </w:rPr>
      </w:pPr>
      <w:r w:rsidRPr="003F239D">
        <w:rPr>
          <w:rFonts w:ascii="Cambria" w:hAnsi="Cambria" w:cs="Calibri"/>
          <w:sz w:val="24"/>
          <w:szCs w:val="24"/>
        </w:rPr>
        <w:t xml:space="preserve">Legal capacity is what a human being can do within the framework of the legal system. </w:t>
      </w:r>
    </w:p>
    <w:p w:rsidR="00831D1F" w:rsidRPr="003F239D" w:rsidRDefault="00831D1F" w:rsidP="003F239D">
      <w:pPr>
        <w:numPr>
          <w:ilvl w:val="0"/>
          <w:numId w:val="5"/>
        </w:numPr>
        <w:spacing w:after="0" w:line="240" w:lineRule="auto"/>
        <w:jc w:val="both"/>
        <w:rPr>
          <w:rFonts w:ascii="Cambria" w:hAnsi="Cambria" w:cs="Calibri"/>
          <w:sz w:val="24"/>
          <w:szCs w:val="24"/>
        </w:rPr>
      </w:pPr>
      <w:r w:rsidRPr="003F239D">
        <w:rPr>
          <w:rFonts w:ascii="Cambria" w:hAnsi="Cambria" w:cs="Calibri"/>
          <w:sz w:val="24"/>
          <w:szCs w:val="24"/>
        </w:rPr>
        <w:t>Legal capacity gives the right to access the civil and juridical system and the legal independence to speak on one’s own behalf.</w:t>
      </w:r>
    </w:p>
    <w:p w:rsidR="00831D1F" w:rsidRPr="003F239D" w:rsidRDefault="00831D1F" w:rsidP="003F239D">
      <w:pPr>
        <w:spacing w:after="0"/>
        <w:jc w:val="both"/>
        <w:rPr>
          <w:rFonts w:ascii="Cambria" w:hAnsi="Cambria" w:cs="Calibri"/>
          <w:sz w:val="24"/>
          <w:szCs w:val="24"/>
        </w:rPr>
      </w:pPr>
    </w:p>
    <w:p w:rsidR="00831D1F" w:rsidRPr="003F239D" w:rsidRDefault="00831D1F" w:rsidP="003F239D">
      <w:pPr>
        <w:spacing w:after="0"/>
        <w:jc w:val="both"/>
        <w:rPr>
          <w:rFonts w:ascii="Cambria" w:hAnsi="Cambria" w:cs="Calibri"/>
          <w:b/>
          <w:sz w:val="24"/>
          <w:szCs w:val="24"/>
        </w:rPr>
      </w:pPr>
      <w:r w:rsidRPr="003F239D">
        <w:rPr>
          <w:rFonts w:ascii="Cambria" w:hAnsi="Cambria" w:cs="Calibri"/>
          <w:b/>
          <w:sz w:val="24"/>
          <w:szCs w:val="24"/>
        </w:rPr>
        <w:t>Recognition of Legal Capacity</w:t>
      </w:r>
    </w:p>
    <w:p w:rsidR="00831D1F" w:rsidRPr="003F239D" w:rsidRDefault="00831D1F" w:rsidP="003F239D">
      <w:pPr>
        <w:numPr>
          <w:ilvl w:val="0"/>
          <w:numId w:val="4"/>
        </w:numPr>
        <w:spacing w:after="0" w:line="240" w:lineRule="auto"/>
        <w:jc w:val="both"/>
        <w:rPr>
          <w:rFonts w:ascii="Cambria" w:hAnsi="Cambria" w:cs="Calibri"/>
          <w:sz w:val="24"/>
          <w:szCs w:val="24"/>
        </w:rPr>
      </w:pPr>
      <w:r w:rsidRPr="003F239D">
        <w:rPr>
          <w:rFonts w:ascii="Cambria" w:hAnsi="Cambria" w:cs="Calibri"/>
          <w:sz w:val="24"/>
          <w:szCs w:val="24"/>
        </w:rPr>
        <w:t>The denial of legal capacity has been a legal reinforcement of social prejudice.</w:t>
      </w:r>
    </w:p>
    <w:p w:rsidR="00831D1F" w:rsidRPr="003F239D" w:rsidRDefault="00831D1F" w:rsidP="003F239D">
      <w:pPr>
        <w:numPr>
          <w:ilvl w:val="0"/>
          <w:numId w:val="4"/>
        </w:numPr>
        <w:spacing w:after="0" w:line="240" w:lineRule="auto"/>
        <w:jc w:val="both"/>
        <w:rPr>
          <w:rFonts w:ascii="Cambria" w:hAnsi="Cambria" w:cs="Calibri"/>
          <w:sz w:val="24"/>
          <w:szCs w:val="24"/>
        </w:rPr>
      </w:pPr>
      <w:r w:rsidRPr="003F239D">
        <w:rPr>
          <w:rFonts w:ascii="Cambria" w:hAnsi="Cambria" w:cs="Calibri"/>
          <w:sz w:val="24"/>
          <w:szCs w:val="24"/>
        </w:rPr>
        <w:t>All persons with disability have the right to develop a full human life and such development cannot happen without the opportunity to exercise capacity.</w:t>
      </w:r>
    </w:p>
    <w:p w:rsidR="00831D1F" w:rsidRPr="003F239D" w:rsidRDefault="00831D1F" w:rsidP="003F239D">
      <w:pPr>
        <w:numPr>
          <w:ilvl w:val="0"/>
          <w:numId w:val="4"/>
        </w:numPr>
        <w:spacing w:after="0" w:line="240" w:lineRule="auto"/>
        <w:jc w:val="both"/>
        <w:rPr>
          <w:rFonts w:ascii="Cambria" w:hAnsi="Cambria" w:cs="Calibri"/>
          <w:sz w:val="24"/>
          <w:szCs w:val="24"/>
        </w:rPr>
      </w:pPr>
      <w:r w:rsidRPr="003F239D">
        <w:rPr>
          <w:rFonts w:ascii="Cambria" w:hAnsi="Cambria" w:cs="Calibri"/>
          <w:sz w:val="24"/>
          <w:szCs w:val="24"/>
        </w:rPr>
        <w:t>To deny this opportunity to any group of persons is to perpetuate exclusion and to legitimize discrimination.</w:t>
      </w:r>
    </w:p>
    <w:p w:rsidR="00831D1F" w:rsidRPr="003F239D" w:rsidRDefault="00831D1F" w:rsidP="003F239D">
      <w:pPr>
        <w:spacing w:after="0"/>
        <w:jc w:val="both"/>
        <w:rPr>
          <w:rFonts w:ascii="Cambria" w:hAnsi="Cambria" w:cs="Calibri"/>
          <w:sz w:val="24"/>
          <w:szCs w:val="24"/>
        </w:rPr>
      </w:pPr>
    </w:p>
    <w:p w:rsidR="00831D1F" w:rsidRPr="003F239D" w:rsidRDefault="00831D1F" w:rsidP="003F239D">
      <w:pPr>
        <w:spacing w:after="0"/>
        <w:jc w:val="both"/>
        <w:rPr>
          <w:rFonts w:ascii="Cambria" w:hAnsi="Cambria" w:cs="Calibri"/>
          <w:b/>
          <w:sz w:val="24"/>
          <w:szCs w:val="24"/>
        </w:rPr>
      </w:pPr>
      <w:r w:rsidRPr="003F239D">
        <w:rPr>
          <w:rFonts w:ascii="Cambria" w:hAnsi="Cambria" w:cs="Calibri"/>
          <w:b/>
          <w:sz w:val="24"/>
          <w:szCs w:val="24"/>
        </w:rPr>
        <w:t xml:space="preserve">Support and Substitution </w:t>
      </w:r>
    </w:p>
    <w:p w:rsidR="00831D1F" w:rsidRPr="003F239D" w:rsidRDefault="00831D1F" w:rsidP="003F239D">
      <w:pPr>
        <w:numPr>
          <w:ilvl w:val="0"/>
          <w:numId w:val="3"/>
        </w:numPr>
        <w:spacing w:after="0" w:line="240" w:lineRule="auto"/>
        <w:jc w:val="both"/>
        <w:rPr>
          <w:rFonts w:ascii="Cambria" w:hAnsi="Cambria" w:cs="Calibri"/>
          <w:sz w:val="24"/>
          <w:szCs w:val="24"/>
        </w:rPr>
      </w:pPr>
      <w:r w:rsidRPr="003F239D">
        <w:rPr>
          <w:rFonts w:ascii="Cambria" w:hAnsi="Cambria" w:cs="Calibri"/>
          <w:sz w:val="24"/>
          <w:szCs w:val="24"/>
        </w:rPr>
        <w:t xml:space="preserve">Support helps people to exercise their legal capacity; substitution takes over the legal capacity of some people. </w:t>
      </w:r>
    </w:p>
    <w:p w:rsidR="00831D1F" w:rsidRPr="003F239D" w:rsidRDefault="00831D1F" w:rsidP="003F239D">
      <w:pPr>
        <w:numPr>
          <w:ilvl w:val="0"/>
          <w:numId w:val="3"/>
        </w:numPr>
        <w:spacing w:after="0" w:line="240" w:lineRule="auto"/>
        <w:jc w:val="both"/>
        <w:rPr>
          <w:rFonts w:ascii="Cambria" w:hAnsi="Cambria" w:cs="Calibri"/>
          <w:sz w:val="24"/>
          <w:szCs w:val="24"/>
        </w:rPr>
      </w:pPr>
      <w:r w:rsidRPr="003F239D">
        <w:rPr>
          <w:rFonts w:ascii="Cambria" w:hAnsi="Cambria" w:cs="Calibri"/>
          <w:sz w:val="24"/>
          <w:szCs w:val="24"/>
        </w:rPr>
        <w:t>Supported decision-making can be of various degrees and periods of time, depending on the person’s need as deemed by him or herself.  Needs can also be ascertained through a supportive process.  Substitution is all or nothing.  Once put in place it continues till dismantled.</w:t>
      </w:r>
    </w:p>
    <w:p w:rsidR="00831D1F" w:rsidRPr="003F239D" w:rsidRDefault="00831D1F" w:rsidP="003F239D">
      <w:pPr>
        <w:spacing w:after="0" w:line="240" w:lineRule="auto"/>
        <w:ind w:left="720"/>
        <w:jc w:val="both"/>
        <w:rPr>
          <w:rFonts w:ascii="Cambria" w:hAnsi="Cambria" w:cs="Calibri"/>
          <w:sz w:val="24"/>
          <w:szCs w:val="24"/>
        </w:rPr>
      </w:pPr>
    </w:p>
    <w:p w:rsidR="00831D1F" w:rsidRPr="003F239D" w:rsidRDefault="00831D1F" w:rsidP="003F239D">
      <w:pPr>
        <w:spacing w:after="0"/>
        <w:jc w:val="both"/>
        <w:rPr>
          <w:rFonts w:ascii="Cambria" w:hAnsi="Cambria" w:cs="Calibri"/>
          <w:b/>
          <w:sz w:val="24"/>
          <w:szCs w:val="24"/>
        </w:rPr>
      </w:pPr>
      <w:r w:rsidRPr="003F239D">
        <w:rPr>
          <w:rFonts w:ascii="Cambria" w:hAnsi="Cambria" w:cs="Calibri"/>
          <w:b/>
          <w:sz w:val="24"/>
          <w:szCs w:val="24"/>
        </w:rPr>
        <w:t>Consequences of Forced Interventions</w:t>
      </w:r>
    </w:p>
    <w:p w:rsidR="00831D1F" w:rsidRPr="003F239D" w:rsidRDefault="00831D1F" w:rsidP="003F239D">
      <w:pPr>
        <w:numPr>
          <w:ilvl w:val="0"/>
          <w:numId w:val="6"/>
        </w:numPr>
        <w:spacing w:after="0" w:line="240" w:lineRule="auto"/>
        <w:jc w:val="both"/>
        <w:rPr>
          <w:rFonts w:ascii="Cambria" w:hAnsi="Cambria" w:cs="Calibri"/>
          <w:b/>
          <w:sz w:val="24"/>
          <w:szCs w:val="24"/>
        </w:rPr>
      </w:pPr>
      <w:r w:rsidRPr="003F239D">
        <w:rPr>
          <w:rFonts w:ascii="Cambria" w:hAnsi="Cambria" w:cs="Calibri"/>
          <w:sz w:val="24"/>
          <w:szCs w:val="24"/>
        </w:rPr>
        <w:t xml:space="preserve">Psychological and physical injuries may last a lifetime.  </w:t>
      </w:r>
    </w:p>
    <w:p w:rsidR="00831D1F" w:rsidRPr="003F239D" w:rsidRDefault="00831D1F" w:rsidP="00BA0992">
      <w:pPr>
        <w:numPr>
          <w:ilvl w:val="0"/>
          <w:numId w:val="6"/>
        </w:numPr>
        <w:spacing w:after="0" w:line="240" w:lineRule="auto"/>
        <w:jc w:val="both"/>
        <w:rPr>
          <w:rFonts w:ascii="Cambria" w:hAnsi="Cambria" w:cs="Calibri"/>
          <w:sz w:val="24"/>
          <w:szCs w:val="24"/>
        </w:rPr>
      </w:pPr>
      <w:r w:rsidRPr="003F239D">
        <w:rPr>
          <w:rFonts w:ascii="Cambria" w:hAnsi="Cambria" w:cs="Calibri"/>
          <w:sz w:val="24"/>
          <w:szCs w:val="24"/>
        </w:rPr>
        <w:t xml:space="preserve">The harm extends up to loss of life. </w:t>
      </w:r>
    </w:p>
    <w:p w:rsidR="00831D1F" w:rsidRPr="003F239D" w:rsidRDefault="00831D1F" w:rsidP="003F239D">
      <w:pPr>
        <w:spacing w:after="0" w:line="240" w:lineRule="auto"/>
        <w:jc w:val="both"/>
        <w:rPr>
          <w:rFonts w:ascii="Cambria" w:hAnsi="Cambria" w:cs="Calibri"/>
          <w:sz w:val="24"/>
          <w:szCs w:val="24"/>
        </w:rPr>
      </w:pPr>
    </w:p>
    <w:p w:rsidR="00831D1F" w:rsidRPr="003F239D" w:rsidRDefault="00831D1F" w:rsidP="003F239D">
      <w:pPr>
        <w:pStyle w:val="ListParagraph"/>
        <w:numPr>
          <w:ilvl w:val="0"/>
          <w:numId w:val="2"/>
        </w:numPr>
        <w:spacing w:after="0"/>
        <w:jc w:val="both"/>
        <w:rPr>
          <w:rFonts w:ascii="Cambria" w:hAnsi="Cambria" w:cs="Calibri"/>
          <w:b/>
          <w:sz w:val="24"/>
          <w:szCs w:val="24"/>
          <w:u w:val="single"/>
        </w:rPr>
      </w:pPr>
      <w:r w:rsidRPr="003F239D">
        <w:rPr>
          <w:rFonts w:ascii="Cambria" w:hAnsi="Cambria" w:cs="Calibri"/>
          <w:b/>
          <w:sz w:val="24"/>
          <w:szCs w:val="24"/>
          <w:u w:val="single"/>
        </w:rPr>
        <w:t>THE NEED FOR CHANGE</w:t>
      </w:r>
    </w:p>
    <w:p w:rsidR="00831D1F" w:rsidRPr="003F239D" w:rsidRDefault="00831D1F" w:rsidP="003F239D">
      <w:pPr>
        <w:spacing w:after="0"/>
        <w:jc w:val="both"/>
        <w:rPr>
          <w:rFonts w:ascii="Cambria" w:hAnsi="Cambria" w:cs="Calibri"/>
          <w:b/>
          <w:sz w:val="24"/>
          <w:szCs w:val="24"/>
        </w:rPr>
      </w:pPr>
    </w:p>
    <w:p w:rsidR="00831D1F" w:rsidRPr="003F239D" w:rsidRDefault="00831D1F" w:rsidP="003F239D">
      <w:pPr>
        <w:spacing w:after="0" w:line="240" w:lineRule="auto"/>
        <w:ind w:firstLine="360"/>
        <w:jc w:val="both"/>
        <w:rPr>
          <w:rFonts w:ascii="Cambria" w:hAnsi="Cambria" w:cs="Calibri"/>
          <w:sz w:val="24"/>
          <w:szCs w:val="24"/>
        </w:rPr>
      </w:pPr>
      <w:smartTag w:uri="urn:schemas-microsoft-com:office:smarttags" w:element="place">
        <w:smartTag w:uri="urn:schemas-microsoft-com:office:smarttags" w:element="country-region">
          <w:r w:rsidRPr="003F239D">
            <w:rPr>
              <w:rFonts w:ascii="Cambria" w:hAnsi="Cambria" w:cs="Calibri"/>
              <w:sz w:val="24"/>
              <w:szCs w:val="24"/>
            </w:rPr>
            <w:t>India</w:t>
          </w:r>
        </w:smartTag>
      </w:smartTag>
      <w:r w:rsidRPr="003F239D">
        <w:rPr>
          <w:rFonts w:ascii="Cambria" w:hAnsi="Cambria" w:cs="Calibri"/>
          <w:sz w:val="24"/>
          <w:szCs w:val="24"/>
        </w:rPr>
        <w:t xml:space="preserve"> has ratified United Nations Convention in the Rights of the Disabled Persons (UNCRPD); therefore introducing the concept of </w:t>
      </w:r>
      <w:r w:rsidRPr="003F239D">
        <w:rPr>
          <w:rFonts w:ascii="Cambria" w:hAnsi="Cambria" w:cs="Calibri"/>
          <w:i/>
          <w:sz w:val="24"/>
          <w:szCs w:val="24"/>
        </w:rPr>
        <w:t xml:space="preserve">legal capacity </w:t>
      </w:r>
      <w:r w:rsidRPr="003F239D">
        <w:rPr>
          <w:rFonts w:ascii="Cambria" w:hAnsi="Cambria" w:cs="Calibri"/>
          <w:sz w:val="24"/>
          <w:szCs w:val="24"/>
        </w:rPr>
        <w:t xml:space="preserve">which has been subject to huge debates. Article 12 of the Convention talks about </w:t>
      </w:r>
      <w:r w:rsidRPr="003F239D">
        <w:rPr>
          <w:rFonts w:ascii="Cambria" w:hAnsi="Cambria" w:cs="Calibri"/>
          <w:i/>
          <w:sz w:val="24"/>
          <w:szCs w:val="24"/>
        </w:rPr>
        <w:t>“Equality before law”</w:t>
      </w:r>
      <w:r w:rsidRPr="003F239D">
        <w:rPr>
          <w:rFonts w:ascii="Cambria" w:hAnsi="Cambria" w:cs="Calibri"/>
          <w:sz w:val="24"/>
          <w:szCs w:val="24"/>
        </w:rPr>
        <w:t xml:space="preserve">; this article clearly maintains that Article 14 of the Constitution of India which also talks about equality before law is almost on the same lines; therefore, the discrimination faced by the disabled is a more of a socio-legal legacy. </w:t>
      </w:r>
    </w:p>
    <w:p w:rsidR="00831D1F" w:rsidRPr="003F239D" w:rsidRDefault="00831D1F" w:rsidP="003F239D">
      <w:pPr>
        <w:spacing w:after="0" w:line="240" w:lineRule="auto"/>
        <w:jc w:val="both"/>
        <w:rPr>
          <w:rFonts w:ascii="Cambria" w:hAnsi="Cambria" w:cs="Calibri"/>
          <w:sz w:val="24"/>
          <w:szCs w:val="24"/>
        </w:rPr>
      </w:pPr>
    </w:p>
    <w:p w:rsidR="00831D1F" w:rsidRPr="003F239D" w:rsidRDefault="00831D1F" w:rsidP="003F239D">
      <w:pPr>
        <w:spacing w:after="0" w:line="240" w:lineRule="auto"/>
        <w:jc w:val="both"/>
        <w:rPr>
          <w:rFonts w:ascii="Cambria" w:hAnsi="Cambria" w:cs="Calibri"/>
          <w:sz w:val="24"/>
          <w:szCs w:val="24"/>
        </w:rPr>
      </w:pPr>
      <w:r w:rsidRPr="003F239D">
        <w:rPr>
          <w:rFonts w:ascii="Cambria" w:hAnsi="Cambria" w:cs="Calibri"/>
          <w:sz w:val="24"/>
          <w:szCs w:val="24"/>
        </w:rPr>
        <w:tab/>
        <w:t xml:space="preserve">A person with autism, cerebral palsy, mental retardation and multiple disabilities is not necessary completely mentally incapacitated – it does not mean that they are incapable of making sane decisions; they might however; need supportive decision making. Supportive decision making is essentially a mechanism to provide help and advice to the person in need. It also implies support in enabling a person to make a right decision for himself/herself but not making the decision. On an individual level </w:t>
      </w:r>
      <w:r w:rsidRPr="003F239D">
        <w:rPr>
          <w:rFonts w:ascii="Cambria" w:hAnsi="Cambria" w:cs="Calibri"/>
          <w:i/>
          <w:sz w:val="24"/>
          <w:szCs w:val="24"/>
        </w:rPr>
        <w:t xml:space="preserve">Support </w:t>
      </w:r>
      <w:r w:rsidRPr="003F239D">
        <w:rPr>
          <w:rFonts w:ascii="Cambria" w:hAnsi="Cambria" w:cs="Calibri"/>
          <w:sz w:val="24"/>
          <w:szCs w:val="24"/>
        </w:rPr>
        <w:t>and not complete control.</w:t>
      </w:r>
    </w:p>
    <w:p w:rsidR="00831D1F" w:rsidRPr="003F239D" w:rsidRDefault="00831D1F" w:rsidP="003F239D">
      <w:pPr>
        <w:spacing w:after="0" w:line="240" w:lineRule="auto"/>
        <w:jc w:val="both"/>
        <w:rPr>
          <w:rFonts w:ascii="Cambria" w:hAnsi="Cambria" w:cs="Calibri"/>
          <w:sz w:val="24"/>
          <w:szCs w:val="24"/>
        </w:rPr>
      </w:pPr>
      <w:r w:rsidRPr="003F239D">
        <w:rPr>
          <w:rFonts w:ascii="Cambria" w:hAnsi="Cambria" w:cs="Calibri"/>
          <w:sz w:val="24"/>
          <w:szCs w:val="24"/>
        </w:rPr>
        <w:tab/>
        <w:t xml:space="preserve"> </w:t>
      </w:r>
    </w:p>
    <w:p w:rsidR="00831D1F" w:rsidRPr="003F239D" w:rsidRDefault="00831D1F" w:rsidP="003F239D">
      <w:pPr>
        <w:spacing w:after="0" w:line="240" w:lineRule="auto"/>
        <w:ind w:firstLine="720"/>
        <w:jc w:val="both"/>
        <w:rPr>
          <w:rFonts w:ascii="Cambria" w:hAnsi="Cambria" w:cs="Calibri"/>
          <w:b/>
          <w:i/>
          <w:sz w:val="24"/>
          <w:szCs w:val="24"/>
          <w:u w:val="single"/>
        </w:rPr>
      </w:pPr>
      <w:r w:rsidRPr="003F239D">
        <w:rPr>
          <w:rFonts w:ascii="Cambria" w:hAnsi="Cambria" w:cs="Calibri"/>
          <w:sz w:val="24"/>
          <w:szCs w:val="24"/>
        </w:rPr>
        <w:t xml:space="preserve">To empower the disabled people it is imperative that we think they are capable if we focus on skill development and capacity building, and change regressive attitudes to support and safe guard the interest of people with developmental disabilities.  </w:t>
      </w:r>
    </w:p>
    <w:p w:rsidR="00831D1F" w:rsidRPr="003F239D" w:rsidRDefault="00831D1F" w:rsidP="003F239D">
      <w:pPr>
        <w:spacing w:after="0"/>
        <w:jc w:val="both"/>
        <w:rPr>
          <w:rFonts w:ascii="Cambria" w:hAnsi="Cambria" w:cs="Calibri"/>
          <w:b/>
          <w:sz w:val="24"/>
          <w:szCs w:val="24"/>
        </w:rPr>
      </w:pPr>
    </w:p>
    <w:p w:rsidR="00831D1F" w:rsidRPr="003F239D" w:rsidRDefault="00831D1F" w:rsidP="003F239D">
      <w:pPr>
        <w:spacing w:after="0"/>
        <w:jc w:val="both"/>
        <w:rPr>
          <w:rFonts w:ascii="Cambria" w:hAnsi="Cambria" w:cs="Calibri"/>
          <w:b/>
          <w:sz w:val="24"/>
          <w:szCs w:val="24"/>
        </w:rPr>
      </w:pPr>
    </w:p>
    <w:p w:rsidR="00831D1F" w:rsidRPr="003F239D" w:rsidRDefault="00831D1F" w:rsidP="003F239D">
      <w:pPr>
        <w:pStyle w:val="ListParagraph"/>
        <w:numPr>
          <w:ilvl w:val="0"/>
          <w:numId w:val="2"/>
        </w:numPr>
        <w:spacing w:after="0"/>
        <w:jc w:val="both"/>
        <w:rPr>
          <w:rFonts w:ascii="Cambria" w:hAnsi="Cambria" w:cs="Calibri"/>
          <w:b/>
          <w:sz w:val="24"/>
          <w:szCs w:val="24"/>
          <w:u w:val="single"/>
        </w:rPr>
      </w:pPr>
      <w:r w:rsidRPr="003F239D">
        <w:rPr>
          <w:rFonts w:ascii="Cambria" w:hAnsi="Cambria" w:cs="Calibri"/>
          <w:b/>
          <w:sz w:val="24"/>
          <w:szCs w:val="24"/>
          <w:u w:val="single"/>
        </w:rPr>
        <w:t>RELEVANCE OF THE INTERNATIONAL HUMAN RIGHTS FRAMEWORK</w:t>
      </w:r>
    </w:p>
    <w:p w:rsidR="00831D1F" w:rsidRDefault="00831D1F" w:rsidP="003F239D">
      <w:pPr>
        <w:spacing w:after="0"/>
        <w:jc w:val="both"/>
        <w:rPr>
          <w:rFonts w:ascii="Cambria" w:hAnsi="Cambria" w:cs="Calibri"/>
          <w:b/>
          <w:sz w:val="24"/>
          <w:szCs w:val="24"/>
        </w:rPr>
      </w:pPr>
    </w:p>
    <w:p w:rsidR="00831D1F" w:rsidRPr="003F239D" w:rsidRDefault="00831D1F" w:rsidP="00BA0992">
      <w:pPr>
        <w:spacing w:after="0" w:line="240" w:lineRule="auto"/>
        <w:jc w:val="both"/>
        <w:rPr>
          <w:rFonts w:ascii="Cambria" w:hAnsi="Cambria" w:cs="Calibri"/>
          <w:sz w:val="24"/>
          <w:szCs w:val="24"/>
        </w:rPr>
      </w:pPr>
      <w:r w:rsidRPr="003F239D">
        <w:rPr>
          <w:rFonts w:ascii="Cambria" w:hAnsi="Cambria" w:cs="Calibri"/>
          <w:sz w:val="24"/>
          <w:szCs w:val="24"/>
        </w:rPr>
        <w:t>Disability is seen as an undesirable condition, to be alleviated at all costs irrespective of the person’s own beliefs and values.</w:t>
      </w:r>
      <w:r>
        <w:rPr>
          <w:rFonts w:ascii="Cambria" w:hAnsi="Cambria" w:cs="Calibri"/>
          <w:sz w:val="24"/>
          <w:szCs w:val="24"/>
        </w:rPr>
        <w:t xml:space="preserve"> </w:t>
      </w:r>
      <w:r w:rsidRPr="003F239D">
        <w:rPr>
          <w:rFonts w:ascii="Cambria" w:hAnsi="Cambria" w:cs="Calibri"/>
          <w:sz w:val="24"/>
          <w:szCs w:val="24"/>
        </w:rPr>
        <w:t>The Convention on the Rights of Persons with Disabilities (CRPD) recognizes:</w:t>
      </w:r>
    </w:p>
    <w:p w:rsidR="00831D1F" w:rsidRPr="003F239D" w:rsidRDefault="00831D1F" w:rsidP="003F239D">
      <w:pPr>
        <w:pStyle w:val="ListParagraph"/>
        <w:numPr>
          <w:ilvl w:val="0"/>
          <w:numId w:val="10"/>
        </w:numPr>
        <w:autoSpaceDE w:val="0"/>
        <w:autoSpaceDN w:val="0"/>
        <w:adjustRightInd w:val="0"/>
        <w:spacing w:after="0" w:line="240" w:lineRule="auto"/>
        <w:jc w:val="both"/>
        <w:rPr>
          <w:rFonts w:ascii="Cambria" w:hAnsi="Cambria" w:cs="Calibri"/>
          <w:sz w:val="24"/>
          <w:szCs w:val="24"/>
        </w:rPr>
      </w:pPr>
      <w:r w:rsidRPr="003F239D">
        <w:rPr>
          <w:rFonts w:ascii="Cambria" w:hAnsi="Cambria" w:cs="Calibri"/>
          <w:sz w:val="24"/>
          <w:szCs w:val="24"/>
        </w:rPr>
        <w:t>that persons with disabilities have the right to recognition everywhere as persons before the law;</w:t>
      </w:r>
    </w:p>
    <w:p w:rsidR="00831D1F" w:rsidRPr="003F239D" w:rsidRDefault="00831D1F" w:rsidP="003F239D">
      <w:pPr>
        <w:pStyle w:val="ListParagraph"/>
        <w:numPr>
          <w:ilvl w:val="0"/>
          <w:numId w:val="10"/>
        </w:numPr>
        <w:autoSpaceDE w:val="0"/>
        <w:autoSpaceDN w:val="0"/>
        <w:adjustRightInd w:val="0"/>
        <w:spacing w:after="0" w:line="240" w:lineRule="auto"/>
        <w:jc w:val="both"/>
        <w:rPr>
          <w:rFonts w:ascii="Cambria" w:hAnsi="Cambria" w:cs="Calibri"/>
          <w:sz w:val="24"/>
          <w:szCs w:val="24"/>
        </w:rPr>
      </w:pPr>
      <w:r w:rsidRPr="003F239D">
        <w:rPr>
          <w:rFonts w:ascii="Cambria" w:hAnsi="Cambria" w:cs="Calibri"/>
          <w:sz w:val="24"/>
          <w:szCs w:val="24"/>
        </w:rPr>
        <w:t>that persons with disabilities enjoy legal capacity on an equal basis with others in all aspects of life;</w:t>
      </w:r>
    </w:p>
    <w:p w:rsidR="00831D1F" w:rsidRPr="003F239D" w:rsidRDefault="00831D1F" w:rsidP="003F239D">
      <w:pPr>
        <w:pStyle w:val="ListParagraph"/>
        <w:numPr>
          <w:ilvl w:val="0"/>
          <w:numId w:val="10"/>
        </w:numPr>
        <w:autoSpaceDE w:val="0"/>
        <w:autoSpaceDN w:val="0"/>
        <w:adjustRightInd w:val="0"/>
        <w:spacing w:after="0" w:line="240" w:lineRule="auto"/>
        <w:jc w:val="both"/>
        <w:rPr>
          <w:rFonts w:ascii="Cambria" w:hAnsi="Cambria" w:cs="Calibri"/>
          <w:sz w:val="24"/>
          <w:szCs w:val="24"/>
        </w:rPr>
      </w:pPr>
      <w:r w:rsidRPr="003F239D">
        <w:rPr>
          <w:rFonts w:ascii="Cambria" w:hAnsi="Cambria" w:cs="Calibri"/>
          <w:sz w:val="24"/>
          <w:szCs w:val="24"/>
        </w:rPr>
        <w:t>That States Parties shall take appropriate measures to provide access by persons with disabilities to the support they may require in exercising their legal capacity.</w:t>
      </w:r>
    </w:p>
    <w:p w:rsidR="00831D1F" w:rsidRPr="003F239D" w:rsidRDefault="00831D1F" w:rsidP="003F239D">
      <w:pPr>
        <w:spacing w:after="0"/>
        <w:jc w:val="both"/>
        <w:rPr>
          <w:rFonts w:ascii="Cambria" w:hAnsi="Cambria" w:cs="Calibri"/>
          <w:b/>
          <w:sz w:val="24"/>
          <w:szCs w:val="24"/>
        </w:rPr>
      </w:pPr>
    </w:p>
    <w:p w:rsidR="00831D1F" w:rsidRPr="003F239D" w:rsidRDefault="00831D1F" w:rsidP="003F239D">
      <w:pPr>
        <w:spacing w:after="0" w:line="240" w:lineRule="auto"/>
        <w:ind w:firstLine="360"/>
        <w:jc w:val="both"/>
        <w:rPr>
          <w:rFonts w:ascii="Cambria" w:hAnsi="Cambria" w:cs="Arial"/>
          <w:sz w:val="24"/>
          <w:szCs w:val="24"/>
        </w:rPr>
      </w:pPr>
      <w:r w:rsidRPr="003F239D">
        <w:rPr>
          <w:rFonts w:ascii="Cambria" w:hAnsi="Cambria" w:cs="Arial"/>
          <w:sz w:val="24"/>
          <w:szCs w:val="24"/>
        </w:rPr>
        <w:t>The social model of disability emphasizes the responsibility of society to dismantle the physical and attitudinal barriers that exclude and stigmatize people on the basis of their physical or mental condition.</w:t>
      </w:r>
      <w:r w:rsidRPr="003F239D">
        <w:rPr>
          <w:rStyle w:val="sup"/>
          <w:rFonts w:ascii="Cambria" w:hAnsi="Cambria" w:cs="Mangal"/>
          <w:sz w:val="24"/>
          <w:szCs w:val="24"/>
        </w:rPr>
        <w:t xml:space="preserve"> </w:t>
      </w:r>
      <w:r w:rsidRPr="003F239D">
        <w:rPr>
          <w:rFonts w:ascii="Cambria" w:hAnsi="Cambria" w:cs="Arial"/>
          <w:sz w:val="24"/>
          <w:szCs w:val="24"/>
        </w:rPr>
        <w:t>The CRPD seeks to limit mechanisms that replicate and reinforce the social exclusion and marginalization of people with disabilities. To achieve this it sets out the foundation human rights of non-discrimination, equality and social participation as entitlements that must be constructed in the social fabric.</w:t>
      </w:r>
    </w:p>
    <w:p w:rsidR="00831D1F" w:rsidRPr="003F239D" w:rsidRDefault="00831D1F" w:rsidP="003F239D">
      <w:pPr>
        <w:spacing w:after="0" w:line="240" w:lineRule="auto"/>
        <w:ind w:left="720"/>
        <w:jc w:val="both"/>
        <w:rPr>
          <w:rFonts w:ascii="Cambria" w:hAnsi="Cambria" w:cs="Arial"/>
          <w:color w:val="000000"/>
          <w:sz w:val="24"/>
          <w:szCs w:val="24"/>
        </w:rPr>
      </w:pPr>
    </w:p>
    <w:p w:rsidR="00831D1F" w:rsidRPr="003F239D" w:rsidRDefault="00831D1F" w:rsidP="003F239D">
      <w:pPr>
        <w:spacing w:after="0" w:line="240" w:lineRule="auto"/>
        <w:ind w:firstLine="360"/>
        <w:jc w:val="both"/>
        <w:rPr>
          <w:rFonts w:ascii="Cambria" w:hAnsi="Cambria" w:cs="Arial"/>
          <w:sz w:val="24"/>
          <w:szCs w:val="24"/>
        </w:rPr>
      </w:pPr>
      <w:r w:rsidRPr="003F239D">
        <w:rPr>
          <w:rFonts w:ascii="Cambria" w:hAnsi="Cambria" w:cs="Arial"/>
          <w:color w:val="000000"/>
          <w:sz w:val="24"/>
          <w:szCs w:val="24"/>
        </w:rPr>
        <w:t xml:space="preserve">Legal Capacity is perhaps the most revolutionary of the new norms articulated in the Convention. CRPD replaces the dualistic model of capacity versus incapacity with an equality-based model that complements full legal rights to individual autonomy and self-determination with entitlement to support when needed, to ensure substantial equality of opportunities to exercise those rights. It reflects established principles in international human rights, such as the universality, indivisibility, interdependence, and inter-relatedness of all human rights. </w:t>
      </w:r>
    </w:p>
    <w:p w:rsidR="00831D1F" w:rsidRPr="003F239D" w:rsidRDefault="00831D1F" w:rsidP="003F239D">
      <w:pPr>
        <w:spacing w:after="0" w:line="240" w:lineRule="auto"/>
        <w:ind w:left="720"/>
        <w:jc w:val="both"/>
        <w:rPr>
          <w:rFonts w:ascii="Cambria" w:hAnsi="Cambria" w:cs="Calibri"/>
          <w:sz w:val="24"/>
          <w:szCs w:val="24"/>
        </w:rPr>
      </w:pPr>
    </w:p>
    <w:p w:rsidR="00831D1F" w:rsidRPr="003F239D" w:rsidRDefault="00831D1F" w:rsidP="003F239D">
      <w:pPr>
        <w:spacing w:after="0"/>
        <w:jc w:val="both"/>
        <w:rPr>
          <w:rFonts w:ascii="Cambria" w:hAnsi="Cambria" w:cs="Calibri"/>
          <w:b/>
          <w:sz w:val="24"/>
          <w:szCs w:val="24"/>
        </w:rPr>
      </w:pPr>
    </w:p>
    <w:p w:rsidR="00831D1F" w:rsidRPr="003F239D" w:rsidRDefault="00831D1F" w:rsidP="003F239D">
      <w:pPr>
        <w:pStyle w:val="ListParagraph"/>
        <w:numPr>
          <w:ilvl w:val="0"/>
          <w:numId w:val="2"/>
        </w:numPr>
        <w:spacing w:after="0"/>
        <w:jc w:val="both"/>
        <w:rPr>
          <w:rFonts w:ascii="Cambria" w:hAnsi="Cambria" w:cs="Calibri"/>
          <w:b/>
          <w:sz w:val="24"/>
          <w:szCs w:val="24"/>
          <w:u w:val="single"/>
        </w:rPr>
      </w:pPr>
      <w:r w:rsidRPr="003F239D">
        <w:rPr>
          <w:rFonts w:ascii="Cambria" w:hAnsi="Cambria" w:cs="Calibri"/>
          <w:b/>
          <w:sz w:val="24"/>
          <w:szCs w:val="24"/>
          <w:u w:val="single"/>
        </w:rPr>
        <w:t>RECOMMENDATIONS FOR REFORM, BASED ON ANALYSING THE EXISTING SYSTEM AGAINST THE INTERNATIONAL LEGAL FRAMEWORK</w:t>
      </w:r>
    </w:p>
    <w:p w:rsidR="00831D1F" w:rsidRPr="003F239D" w:rsidRDefault="00831D1F" w:rsidP="003F239D">
      <w:pPr>
        <w:spacing w:after="0"/>
        <w:jc w:val="both"/>
        <w:rPr>
          <w:rFonts w:ascii="Cambria" w:hAnsi="Cambria" w:cs="Calibri"/>
          <w:b/>
          <w:sz w:val="24"/>
          <w:szCs w:val="24"/>
        </w:rPr>
      </w:pPr>
    </w:p>
    <w:p w:rsidR="00831D1F" w:rsidRPr="003F239D" w:rsidRDefault="00831D1F" w:rsidP="003F239D">
      <w:pPr>
        <w:autoSpaceDE w:val="0"/>
        <w:autoSpaceDN w:val="0"/>
        <w:adjustRightInd w:val="0"/>
        <w:spacing w:after="0" w:line="240" w:lineRule="auto"/>
        <w:ind w:firstLine="360"/>
        <w:jc w:val="both"/>
        <w:rPr>
          <w:rFonts w:ascii="Cambria" w:hAnsi="Cambria"/>
          <w:sz w:val="24"/>
          <w:szCs w:val="24"/>
        </w:rPr>
      </w:pPr>
      <w:r w:rsidRPr="003F239D">
        <w:rPr>
          <w:rFonts w:ascii="Cambria" w:hAnsi="Cambria"/>
          <w:sz w:val="24"/>
          <w:szCs w:val="24"/>
        </w:rPr>
        <w:t xml:space="preserve">The right to legal capacity includes the capacity to have rights and the capacity to act on those rights, i.e. the capacity to make legal agreements with others. The capacity to act is not only part of the legal capacity guaranteed in Article 12; it is the most defining part: the right to make decisions. </w:t>
      </w:r>
    </w:p>
    <w:p w:rsidR="00831D1F" w:rsidRPr="003F239D" w:rsidRDefault="00831D1F" w:rsidP="003F239D">
      <w:pPr>
        <w:autoSpaceDE w:val="0"/>
        <w:autoSpaceDN w:val="0"/>
        <w:adjustRightInd w:val="0"/>
        <w:spacing w:after="0" w:line="240" w:lineRule="auto"/>
        <w:ind w:firstLine="360"/>
        <w:jc w:val="both"/>
        <w:rPr>
          <w:rFonts w:ascii="Cambria" w:hAnsi="Cambria"/>
          <w:sz w:val="24"/>
          <w:szCs w:val="24"/>
        </w:rPr>
      </w:pPr>
    </w:p>
    <w:p w:rsidR="00831D1F" w:rsidRPr="003F239D" w:rsidRDefault="00831D1F" w:rsidP="003F239D">
      <w:pPr>
        <w:numPr>
          <w:ilvl w:val="0"/>
          <w:numId w:val="10"/>
        </w:numPr>
        <w:autoSpaceDE w:val="0"/>
        <w:autoSpaceDN w:val="0"/>
        <w:adjustRightInd w:val="0"/>
        <w:spacing w:after="0" w:line="240" w:lineRule="auto"/>
        <w:jc w:val="both"/>
        <w:rPr>
          <w:rFonts w:ascii="Cambria" w:hAnsi="Cambria"/>
          <w:sz w:val="24"/>
          <w:szCs w:val="24"/>
        </w:rPr>
      </w:pPr>
      <w:r w:rsidRPr="003F239D">
        <w:rPr>
          <w:rFonts w:ascii="Cambria" w:hAnsi="Cambria"/>
          <w:sz w:val="24"/>
          <w:szCs w:val="24"/>
        </w:rPr>
        <w:t xml:space="preserve">Article 12 must be implemented as a part of the whole Convention. </w:t>
      </w:r>
    </w:p>
    <w:p w:rsidR="00831D1F" w:rsidRPr="003F239D" w:rsidRDefault="00831D1F" w:rsidP="00E54449">
      <w:pPr>
        <w:pStyle w:val="ListParagraph"/>
        <w:numPr>
          <w:ilvl w:val="0"/>
          <w:numId w:val="10"/>
        </w:numPr>
        <w:autoSpaceDE w:val="0"/>
        <w:autoSpaceDN w:val="0"/>
        <w:adjustRightInd w:val="0"/>
        <w:spacing w:after="0" w:line="240" w:lineRule="auto"/>
        <w:jc w:val="both"/>
        <w:rPr>
          <w:rFonts w:ascii="Cambria" w:hAnsi="Cambria" w:cs="Calibri"/>
          <w:sz w:val="24"/>
          <w:szCs w:val="24"/>
        </w:rPr>
      </w:pPr>
      <w:r w:rsidRPr="003F239D">
        <w:rPr>
          <w:rFonts w:ascii="Cambria" w:hAnsi="Cambria" w:cs="Calibri"/>
          <w:sz w:val="24"/>
          <w:szCs w:val="24"/>
        </w:rPr>
        <w:t>All persons have a will which, with adequate support, can be discerned.</w:t>
      </w:r>
      <w:r>
        <w:rPr>
          <w:rFonts w:ascii="Cambria" w:hAnsi="Cambria" w:cs="Calibri"/>
          <w:sz w:val="24"/>
          <w:szCs w:val="24"/>
        </w:rPr>
        <w:t xml:space="preserve"> </w:t>
      </w:r>
      <w:r w:rsidRPr="003F239D">
        <w:rPr>
          <w:rFonts w:ascii="Cambria" w:hAnsi="Cambria" w:cs="Calibri"/>
          <w:sz w:val="24"/>
          <w:szCs w:val="24"/>
        </w:rPr>
        <w:t>Presumption is that all people can exercise their legal capacity independently.</w:t>
      </w:r>
    </w:p>
    <w:p w:rsidR="00831D1F" w:rsidRPr="003F239D" w:rsidRDefault="00831D1F" w:rsidP="003F239D">
      <w:pPr>
        <w:pStyle w:val="ListParagraph"/>
        <w:numPr>
          <w:ilvl w:val="0"/>
          <w:numId w:val="10"/>
        </w:numPr>
        <w:autoSpaceDE w:val="0"/>
        <w:autoSpaceDN w:val="0"/>
        <w:adjustRightInd w:val="0"/>
        <w:spacing w:after="0" w:line="240" w:lineRule="auto"/>
        <w:jc w:val="both"/>
        <w:rPr>
          <w:rFonts w:ascii="Cambria" w:hAnsi="Cambria" w:cs="Calibri"/>
          <w:sz w:val="24"/>
          <w:szCs w:val="24"/>
        </w:rPr>
      </w:pPr>
      <w:r w:rsidRPr="003F239D">
        <w:rPr>
          <w:rFonts w:ascii="Cambria" w:hAnsi="Cambria" w:cs="Calibri"/>
          <w:sz w:val="24"/>
          <w:szCs w:val="24"/>
        </w:rPr>
        <w:t>The right to support is required to exercise legal capacity.</w:t>
      </w:r>
    </w:p>
    <w:p w:rsidR="00831D1F" w:rsidRPr="003F239D" w:rsidRDefault="00831D1F" w:rsidP="003F239D">
      <w:pPr>
        <w:pStyle w:val="ListParagraph"/>
        <w:numPr>
          <w:ilvl w:val="0"/>
          <w:numId w:val="10"/>
        </w:numPr>
        <w:autoSpaceDE w:val="0"/>
        <w:autoSpaceDN w:val="0"/>
        <w:adjustRightInd w:val="0"/>
        <w:spacing w:after="0" w:line="240" w:lineRule="auto"/>
        <w:jc w:val="both"/>
        <w:rPr>
          <w:rFonts w:ascii="Cambria" w:hAnsi="Cambria" w:cs="Calibri"/>
          <w:sz w:val="24"/>
          <w:szCs w:val="24"/>
        </w:rPr>
      </w:pPr>
      <w:r w:rsidRPr="003F239D">
        <w:rPr>
          <w:rFonts w:ascii="Cambria" w:hAnsi="Cambria" w:cs="Calibri"/>
          <w:sz w:val="24"/>
          <w:szCs w:val="24"/>
        </w:rPr>
        <w:t>Having support does not negate a person’s full legal capacity.</w:t>
      </w:r>
    </w:p>
    <w:p w:rsidR="00831D1F" w:rsidRPr="003F239D" w:rsidRDefault="00831D1F" w:rsidP="003F239D">
      <w:pPr>
        <w:pStyle w:val="ListParagraph"/>
        <w:numPr>
          <w:ilvl w:val="0"/>
          <w:numId w:val="10"/>
        </w:numPr>
        <w:autoSpaceDE w:val="0"/>
        <w:autoSpaceDN w:val="0"/>
        <w:adjustRightInd w:val="0"/>
        <w:spacing w:after="0" w:line="240" w:lineRule="auto"/>
        <w:jc w:val="both"/>
        <w:rPr>
          <w:rFonts w:ascii="Cambria" w:hAnsi="Cambria" w:cs="Calibri"/>
          <w:sz w:val="24"/>
          <w:szCs w:val="24"/>
        </w:rPr>
      </w:pPr>
      <w:r w:rsidRPr="003F239D">
        <w:rPr>
          <w:rFonts w:ascii="Cambria" w:hAnsi="Cambria" w:cs="Calibri"/>
          <w:sz w:val="24"/>
          <w:szCs w:val="24"/>
        </w:rPr>
        <w:t>Other parties have a duty to accommodate (doctor’s /lawyers/ bankers/ contractors etc).</w:t>
      </w:r>
    </w:p>
    <w:p w:rsidR="00831D1F" w:rsidRPr="003F239D" w:rsidRDefault="00831D1F" w:rsidP="003F239D">
      <w:pPr>
        <w:pStyle w:val="ListParagraph"/>
        <w:numPr>
          <w:ilvl w:val="0"/>
          <w:numId w:val="10"/>
        </w:numPr>
        <w:autoSpaceDE w:val="0"/>
        <w:autoSpaceDN w:val="0"/>
        <w:adjustRightInd w:val="0"/>
        <w:spacing w:after="0" w:line="240" w:lineRule="auto"/>
        <w:jc w:val="both"/>
        <w:rPr>
          <w:rFonts w:ascii="Cambria" w:hAnsi="Cambria" w:cs="Calibri"/>
          <w:sz w:val="24"/>
          <w:szCs w:val="24"/>
        </w:rPr>
      </w:pPr>
      <w:r w:rsidRPr="003F239D">
        <w:rPr>
          <w:rFonts w:ascii="Cambria" w:hAnsi="Cambria" w:cs="Calibri"/>
          <w:sz w:val="24"/>
          <w:szCs w:val="24"/>
        </w:rPr>
        <w:t>Appropriate measures means supports can take various forms both informal and formal and these must be tailored to the person’s circumstances.</w:t>
      </w:r>
    </w:p>
    <w:p w:rsidR="00831D1F" w:rsidRDefault="00831D1F" w:rsidP="003F239D">
      <w:pPr>
        <w:pStyle w:val="ListParagraph"/>
        <w:numPr>
          <w:ilvl w:val="0"/>
          <w:numId w:val="10"/>
        </w:numPr>
        <w:autoSpaceDE w:val="0"/>
        <w:autoSpaceDN w:val="0"/>
        <w:adjustRightInd w:val="0"/>
        <w:spacing w:after="0" w:line="240" w:lineRule="auto"/>
        <w:jc w:val="both"/>
        <w:rPr>
          <w:rFonts w:ascii="Cambria" w:hAnsi="Cambria" w:cs="Calibri"/>
          <w:sz w:val="24"/>
          <w:szCs w:val="24"/>
        </w:rPr>
      </w:pPr>
      <w:r w:rsidRPr="003F239D">
        <w:rPr>
          <w:rFonts w:ascii="Cambria" w:hAnsi="Cambria" w:cs="Calibri"/>
          <w:sz w:val="24"/>
          <w:szCs w:val="24"/>
        </w:rPr>
        <w:t>If the capacity to act independently is challenged in the context of legal relationships and contracts then the tests that would be applied on an equal basis with others should be disability neutral. Any test would question whether support and accommodations have been put in place and the responsibilities of other parties have been met.</w:t>
      </w:r>
    </w:p>
    <w:p w:rsidR="00831D1F" w:rsidRDefault="00831D1F" w:rsidP="003F239D">
      <w:pPr>
        <w:pStyle w:val="ListParagraph"/>
        <w:numPr>
          <w:ilvl w:val="0"/>
          <w:numId w:val="10"/>
        </w:numPr>
        <w:autoSpaceDE w:val="0"/>
        <w:autoSpaceDN w:val="0"/>
        <w:adjustRightInd w:val="0"/>
        <w:spacing w:after="0" w:line="240" w:lineRule="auto"/>
        <w:jc w:val="both"/>
        <w:rPr>
          <w:rFonts w:ascii="Cambria" w:hAnsi="Cambria" w:cs="Calibri"/>
          <w:sz w:val="24"/>
          <w:szCs w:val="24"/>
        </w:rPr>
      </w:pPr>
      <w:r>
        <w:rPr>
          <w:rFonts w:ascii="Cambria" w:hAnsi="Cambria" w:cs="Calibri"/>
          <w:sz w:val="24"/>
          <w:szCs w:val="24"/>
        </w:rPr>
        <w:t>There should be a regular review of the necessity of the measure by a competent, independent and impartial authority or judicial body.</w:t>
      </w:r>
    </w:p>
    <w:p w:rsidR="00831D1F" w:rsidRPr="003F239D" w:rsidRDefault="00831D1F" w:rsidP="003F239D">
      <w:pPr>
        <w:pStyle w:val="ListParagraph"/>
        <w:numPr>
          <w:ilvl w:val="0"/>
          <w:numId w:val="10"/>
        </w:numPr>
        <w:autoSpaceDE w:val="0"/>
        <w:autoSpaceDN w:val="0"/>
        <w:adjustRightInd w:val="0"/>
        <w:spacing w:after="0" w:line="240" w:lineRule="auto"/>
        <w:jc w:val="both"/>
        <w:rPr>
          <w:rFonts w:ascii="Cambria" w:hAnsi="Cambria" w:cs="Calibri"/>
          <w:sz w:val="24"/>
          <w:szCs w:val="24"/>
        </w:rPr>
      </w:pPr>
      <w:r>
        <w:rPr>
          <w:rFonts w:ascii="Cambria" w:hAnsi="Cambria" w:cs="Calibri"/>
          <w:sz w:val="24"/>
          <w:szCs w:val="24"/>
        </w:rPr>
        <w:t>People who have functional capacity are able to plan for future cases of incapacity. Legislation can assist such people by providing legal mechanisms to allow planning for incapacity; advance directives and power of attorney.</w:t>
      </w:r>
    </w:p>
    <w:p w:rsidR="00831D1F" w:rsidRPr="003F239D" w:rsidRDefault="00831D1F" w:rsidP="003F239D">
      <w:pPr>
        <w:pStyle w:val="ListParagraph"/>
        <w:autoSpaceDE w:val="0"/>
        <w:autoSpaceDN w:val="0"/>
        <w:adjustRightInd w:val="0"/>
        <w:spacing w:after="0" w:line="240" w:lineRule="auto"/>
        <w:jc w:val="both"/>
        <w:rPr>
          <w:rFonts w:ascii="Cambria" w:hAnsi="Cambria" w:cs="Calibri"/>
          <w:sz w:val="24"/>
          <w:szCs w:val="24"/>
        </w:rPr>
      </w:pPr>
    </w:p>
    <w:p w:rsidR="00831D1F" w:rsidRPr="003F239D" w:rsidRDefault="00831D1F" w:rsidP="003F239D">
      <w:pPr>
        <w:spacing w:after="0"/>
        <w:jc w:val="both"/>
        <w:rPr>
          <w:rFonts w:ascii="Cambria" w:hAnsi="Cambria" w:cs="Calibri"/>
          <w:b/>
          <w:sz w:val="24"/>
          <w:szCs w:val="24"/>
        </w:rPr>
      </w:pPr>
      <w:r w:rsidRPr="003F239D">
        <w:rPr>
          <w:rFonts w:ascii="Cambria" w:hAnsi="Cambria" w:cs="Calibri"/>
          <w:b/>
          <w:sz w:val="24"/>
          <w:szCs w:val="24"/>
        </w:rPr>
        <w:t>Forced Interventions are wrong</w:t>
      </w:r>
    </w:p>
    <w:p w:rsidR="00831D1F" w:rsidRPr="003F239D" w:rsidRDefault="00831D1F" w:rsidP="003F239D">
      <w:pPr>
        <w:numPr>
          <w:ilvl w:val="0"/>
          <w:numId w:val="6"/>
        </w:numPr>
        <w:spacing w:after="0" w:line="240" w:lineRule="auto"/>
        <w:jc w:val="both"/>
        <w:rPr>
          <w:rFonts w:ascii="Cambria" w:hAnsi="Cambria" w:cs="Calibri"/>
          <w:sz w:val="24"/>
          <w:szCs w:val="24"/>
        </w:rPr>
      </w:pPr>
      <w:r w:rsidRPr="003F239D">
        <w:rPr>
          <w:rFonts w:ascii="Cambria" w:hAnsi="Cambria" w:cs="Calibri"/>
          <w:sz w:val="24"/>
          <w:szCs w:val="24"/>
        </w:rPr>
        <w:t xml:space="preserve">Use of medical techniques against a person’s will may violate the norm against torture. </w:t>
      </w:r>
    </w:p>
    <w:p w:rsidR="00831D1F" w:rsidRPr="003F239D" w:rsidRDefault="00831D1F" w:rsidP="003F239D">
      <w:pPr>
        <w:numPr>
          <w:ilvl w:val="0"/>
          <w:numId w:val="6"/>
        </w:numPr>
        <w:spacing w:after="0" w:line="240" w:lineRule="auto"/>
        <w:jc w:val="both"/>
        <w:rPr>
          <w:rFonts w:ascii="Cambria" w:hAnsi="Cambria" w:cs="Calibri"/>
          <w:sz w:val="24"/>
          <w:szCs w:val="24"/>
        </w:rPr>
      </w:pPr>
      <w:r w:rsidRPr="003F239D">
        <w:rPr>
          <w:rFonts w:ascii="Cambria" w:hAnsi="Cambria" w:cs="Calibri"/>
          <w:sz w:val="24"/>
          <w:szCs w:val="24"/>
        </w:rPr>
        <w:t>The choice of how to live with a disability is unique to each individual.  In some cases, medical attention is counter-productive.</w:t>
      </w:r>
    </w:p>
    <w:p w:rsidR="00831D1F" w:rsidRPr="003F239D" w:rsidRDefault="00831D1F" w:rsidP="003F239D">
      <w:pPr>
        <w:numPr>
          <w:ilvl w:val="0"/>
          <w:numId w:val="6"/>
        </w:numPr>
        <w:spacing w:after="0" w:line="240" w:lineRule="auto"/>
        <w:jc w:val="both"/>
        <w:rPr>
          <w:rFonts w:ascii="Cambria" w:hAnsi="Cambria" w:cs="Calibri"/>
          <w:sz w:val="24"/>
          <w:szCs w:val="24"/>
        </w:rPr>
      </w:pPr>
      <w:r w:rsidRPr="003F239D">
        <w:rPr>
          <w:rFonts w:ascii="Cambria" w:hAnsi="Cambria" w:cs="Calibri"/>
          <w:sz w:val="24"/>
          <w:szCs w:val="24"/>
        </w:rPr>
        <w:t>Everyone has the right to free and informed consent.  This means the right to decide about a treatment after being fully informed of positive and negative implications.</w:t>
      </w:r>
    </w:p>
    <w:p w:rsidR="00831D1F" w:rsidRDefault="00831D1F" w:rsidP="003F239D">
      <w:pPr>
        <w:numPr>
          <w:ilvl w:val="0"/>
          <w:numId w:val="6"/>
        </w:numPr>
        <w:spacing w:after="0" w:line="240" w:lineRule="auto"/>
        <w:jc w:val="both"/>
        <w:rPr>
          <w:rFonts w:ascii="Cambria" w:hAnsi="Cambria" w:cs="Calibri"/>
          <w:sz w:val="24"/>
          <w:szCs w:val="24"/>
        </w:rPr>
      </w:pPr>
      <w:r w:rsidRPr="003F239D">
        <w:rPr>
          <w:rFonts w:ascii="Cambria" w:hAnsi="Cambria" w:cs="Calibri"/>
          <w:sz w:val="24"/>
          <w:szCs w:val="24"/>
        </w:rPr>
        <w:t>The inherent dignity and human worth of people with disability is not a matter of debate or balancing. It is a right.</w:t>
      </w:r>
    </w:p>
    <w:p w:rsidR="00831D1F" w:rsidRPr="003F239D" w:rsidRDefault="00831D1F" w:rsidP="003F239D">
      <w:pPr>
        <w:numPr>
          <w:ilvl w:val="0"/>
          <w:numId w:val="6"/>
        </w:numPr>
        <w:spacing w:after="0" w:line="240" w:lineRule="auto"/>
        <w:jc w:val="both"/>
        <w:rPr>
          <w:rFonts w:ascii="Cambria" w:hAnsi="Cambria" w:cs="Calibri"/>
          <w:sz w:val="24"/>
          <w:szCs w:val="24"/>
        </w:rPr>
      </w:pPr>
      <w:r>
        <w:rPr>
          <w:rFonts w:ascii="Cambria" w:hAnsi="Cambria" w:cs="Calibri"/>
          <w:sz w:val="24"/>
          <w:szCs w:val="24"/>
        </w:rPr>
        <w:t>There must be safeguards in place to protect the adult against abuse and exploitation.</w:t>
      </w:r>
    </w:p>
    <w:p w:rsidR="00831D1F" w:rsidRPr="003F239D" w:rsidRDefault="00831D1F" w:rsidP="003F239D">
      <w:pPr>
        <w:spacing w:after="0" w:line="240" w:lineRule="auto"/>
        <w:ind w:left="720"/>
        <w:jc w:val="both"/>
        <w:rPr>
          <w:rFonts w:ascii="Cambria" w:hAnsi="Cambria" w:cs="Calibri"/>
          <w:sz w:val="24"/>
          <w:szCs w:val="24"/>
        </w:rPr>
      </w:pPr>
    </w:p>
    <w:p w:rsidR="00831D1F" w:rsidRPr="003F239D" w:rsidRDefault="00831D1F" w:rsidP="003F239D">
      <w:pPr>
        <w:autoSpaceDE w:val="0"/>
        <w:autoSpaceDN w:val="0"/>
        <w:adjustRightInd w:val="0"/>
        <w:spacing w:after="0" w:line="240" w:lineRule="auto"/>
        <w:ind w:firstLine="360"/>
        <w:jc w:val="both"/>
        <w:rPr>
          <w:rFonts w:ascii="Cambria" w:hAnsi="Cambria" w:cs="Calibri"/>
          <w:sz w:val="24"/>
          <w:szCs w:val="24"/>
        </w:rPr>
      </w:pPr>
      <w:r w:rsidRPr="003F239D">
        <w:rPr>
          <w:rFonts w:ascii="Cambria" w:hAnsi="Cambria" w:cs="Calibri"/>
          <w:sz w:val="24"/>
          <w:szCs w:val="24"/>
        </w:rPr>
        <w:t>In situations where supported decision making measures are not yet in place and a person’s right to exercise their full legal capacity is not realized, states must take measures to develop and put in place supports to build capacities of communities to enable people to make decisions in their lives.</w:t>
      </w:r>
    </w:p>
    <w:p w:rsidR="00831D1F" w:rsidRPr="003F239D" w:rsidRDefault="00831D1F" w:rsidP="003F239D">
      <w:pPr>
        <w:autoSpaceDE w:val="0"/>
        <w:autoSpaceDN w:val="0"/>
        <w:adjustRightInd w:val="0"/>
        <w:spacing w:after="0" w:line="240" w:lineRule="auto"/>
        <w:ind w:firstLine="360"/>
        <w:jc w:val="both"/>
        <w:rPr>
          <w:rFonts w:ascii="Cambria" w:hAnsi="Cambria" w:cs="Calibri"/>
          <w:sz w:val="24"/>
          <w:szCs w:val="24"/>
        </w:rPr>
      </w:pPr>
    </w:p>
    <w:p w:rsidR="00831D1F" w:rsidRPr="003F239D" w:rsidRDefault="00831D1F" w:rsidP="00BA0992">
      <w:pPr>
        <w:spacing w:after="0" w:line="240" w:lineRule="auto"/>
        <w:ind w:firstLine="360"/>
        <w:jc w:val="both"/>
        <w:rPr>
          <w:rFonts w:ascii="Cambria" w:hAnsi="Cambria" w:cs="Arial"/>
          <w:sz w:val="24"/>
          <w:szCs w:val="24"/>
        </w:rPr>
      </w:pPr>
      <w:r w:rsidRPr="003F239D">
        <w:rPr>
          <w:rFonts w:ascii="Cambria" w:hAnsi="Cambria" w:cs="Arial"/>
          <w:color w:val="000000"/>
          <w:sz w:val="24"/>
          <w:szCs w:val="24"/>
        </w:rPr>
        <w:t xml:space="preserve">A guarantee of legal capacity on an equal basis with others in all aspects of life should result in the elimination of all such legal regimes that premised on an equation of disability with legal incapacity. </w:t>
      </w:r>
      <w:r w:rsidRPr="003F239D">
        <w:rPr>
          <w:rStyle w:val="googqs-tidbit"/>
          <w:rFonts w:ascii="Cambria" w:hAnsi="Cambria" w:cs="Arial"/>
          <w:color w:val="000000"/>
          <w:sz w:val="24"/>
          <w:szCs w:val="24"/>
        </w:rPr>
        <w:t xml:space="preserve">Thus a necessary concomitant of this human rights and dignity based </w:t>
      </w:r>
      <w:r w:rsidRPr="003F239D">
        <w:rPr>
          <w:rFonts w:ascii="Cambria" w:hAnsi="Cambria" w:cs="Arial"/>
          <w:color w:val="000000"/>
          <w:sz w:val="24"/>
          <w:szCs w:val="24"/>
        </w:rPr>
        <w:t xml:space="preserve">understanding of equality is an unequivocal recognition of universal legal capacity. </w:t>
      </w:r>
    </w:p>
    <w:p w:rsidR="00831D1F" w:rsidRPr="003F239D" w:rsidRDefault="00831D1F" w:rsidP="003F239D">
      <w:pPr>
        <w:spacing w:after="0"/>
        <w:jc w:val="both"/>
        <w:rPr>
          <w:rFonts w:ascii="Cambria" w:hAnsi="Cambria" w:cs="Calibri"/>
          <w:b/>
          <w:sz w:val="24"/>
          <w:szCs w:val="24"/>
        </w:rPr>
      </w:pPr>
    </w:p>
    <w:p w:rsidR="00831D1F" w:rsidRPr="003F239D" w:rsidRDefault="00831D1F" w:rsidP="003F239D">
      <w:pPr>
        <w:spacing w:after="0"/>
        <w:jc w:val="both"/>
        <w:rPr>
          <w:rFonts w:ascii="Cambria" w:hAnsi="Cambria" w:cs="Calibri"/>
          <w:b/>
          <w:sz w:val="24"/>
          <w:szCs w:val="24"/>
        </w:rPr>
      </w:pPr>
    </w:p>
    <w:p w:rsidR="00831D1F" w:rsidRPr="003F239D" w:rsidRDefault="00831D1F" w:rsidP="003F239D">
      <w:pPr>
        <w:pStyle w:val="ListParagraph"/>
        <w:numPr>
          <w:ilvl w:val="0"/>
          <w:numId w:val="2"/>
        </w:numPr>
        <w:spacing w:after="0"/>
        <w:jc w:val="both"/>
        <w:rPr>
          <w:rFonts w:ascii="Cambria" w:hAnsi="Cambria" w:cs="Calibri"/>
          <w:b/>
          <w:sz w:val="24"/>
          <w:szCs w:val="24"/>
          <w:u w:val="single"/>
        </w:rPr>
      </w:pPr>
      <w:r w:rsidRPr="003F239D">
        <w:rPr>
          <w:rFonts w:ascii="Cambria" w:hAnsi="Cambria" w:cs="Calibri"/>
          <w:b/>
          <w:sz w:val="24"/>
          <w:szCs w:val="24"/>
          <w:u w:val="single"/>
        </w:rPr>
        <w:t>ANALYSIS OF THE OBLIGATIONS TO INCLUDE CIVIL SOCIETY IN LAW AND POLICY REFORM</w:t>
      </w:r>
    </w:p>
    <w:p w:rsidR="00831D1F" w:rsidRPr="003F239D" w:rsidRDefault="00831D1F" w:rsidP="003F239D">
      <w:pPr>
        <w:spacing w:after="0"/>
        <w:jc w:val="both"/>
        <w:rPr>
          <w:rFonts w:ascii="Cambria" w:hAnsi="Cambria" w:cs="Arial"/>
          <w:color w:val="000000"/>
          <w:sz w:val="24"/>
          <w:szCs w:val="24"/>
        </w:rPr>
      </w:pPr>
    </w:p>
    <w:p w:rsidR="00831D1F" w:rsidRDefault="00831D1F" w:rsidP="003F239D">
      <w:pPr>
        <w:autoSpaceDE w:val="0"/>
        <w:autoSpaceDN w:val="0"/>
        <w:adjustRightInd w:val="0"/>
        <w:spacing w:after="0" w:line="240" w:lineRule="auto"/>
        <w:ind w:firstLine="360"/>
        <w:jc w:val="both"/>
        <w:rPr>
          <w:rFonts w:ascii="Cambria" w:hAnsi="Cambria" w:cs="Arial"/>
          <w:sz w:val="24"/>
          <w:szCs w:val="24"/>
        </w:rPr>
      </w:pPr>
      <w:r w:rsidRPr="003F239D">
        <w:rPr>
          <w:rFonts w:ascii="Cambria" w:hAnsi="Cambria" w:cs="Bookman Old Style"/>
          <w:sz w:val="24"/>
          <w:szCs w:val="24"/>
          <w:lang w:val="en-US" w:bidi="hi-IN"/>
        </w:rPr>
        <w:t xml:space="preserve">Whenever we try to look at policy dimensions and policy perspectives, the one important thing that glares at us is the domination and circulation of certain sets of ideas and information. This is a problem because this domination shapes normative and foundational understanding, particularly of those who are not directly involved in grassroots work. </w:t>
      </w:r>
      <w:r w:rsidRPr="003F239D">
        <w:rPr>
          <w:rFonts w:ascii="Cambria" w:hAnsi="Cambria" w:cs="Arial"/>
          <w:sz w:val="24"/>
          <w:szCs w:val="24"/>
        </w:rPr>
        <w:t xml:space="preserve">Ed Roberts, one of the leading figures in the international disability rights movements, said: “If we have learnt one thing from the civil rights movement in the </w:t>
      </w:r>
      <w:smartTag w:uri="urn:schemas-microsoft-com:office:smarttags" w:element="place">
        <w:smartTag w:uri="urn:schemas-microsoft-com:office:smarttags" w:element="country-region">
          <w:r w:rsidRPr="003F239D">
            <w:rPr>
              <w:rFonts w:ascii="Cambria" w:hAnsi="Cambria" w:cs="Arial"/>
              <w:sz w:val="24"/>
              <w:szCs w:val="24"/>
            </w:rPr>
            <w:t>U.S.</w:t>
          </w:r>
        </w:smartTag>
      </w:smartTag>
      <w:r w:rsidRPr="003F239D">
        <w:rPr>
          <w:rFonts w:ascii="Cambria" w:hAnsi="Cambria" w:cs="Arial"/>
          <w:sz w:val="24"/>
          <w:szCs w:val="24"/>
        </w:rPr>
        <w:t xml:space="preserve">, it’s that when others speak for you, you lose”.  Hence the slogan: “Nothing about us, without us”. The irony, however, is that legal capacity is required to allow for self advocacy and self advocacy is needed to obtain legal capacity.  </w:t>
      </w:r>
    </w:p>
    <w:p w:rsidR="00831D1F" w:rsidRDefault="00831D1F" w:rsidP="003F239D">
      <w:pPr>
        <w:autoSpaceDE w:val="0"/>
        <w:autoSpaceDN w:val="0"/>
        <w:adjustRightInd w:val="0"/>
        <w:spacing w:after="0" w:line="240" w:lineRule="auto"/>
        <w:ind w:firstLine="360"/>
        <w:jc w:val="both"/>
        <w:rPr>
          <w:rFonts w:ascii="Cambria" w:hAnsi="Cambria" w:cs="Arial"/>
          <w:sz w:val="24"/>
          <w:szCs w:val="24"/>
        </w:rPr>
      </w:pPr>
    </w:p>
    <w:p w:rsidR="00831D1F" w:rsidRPr="003F239D" w:rsidRDefault="00831D1F" w:rsidP="003F239D">
      <w:pPr>
        <w:autoSpaceDE w:val="0"/>
        <w:autoSpaceDN w:val="0"/>
        <w:adjustRightInd w:val="0"/>
        <w:spacing w:after="0" w:line="240" w:lineRule="auto"/>
        <w:ind w:firstLine="360"/>
        <w:jc w:val="both"/>
        <w:rPr>
          <w:rFonts w:ascii="Cambria" w:hAnsi="Cambria" w:cs="Arial"/>
          <w:sz w:val="24"/>
          <w:szCs w:val="24"/>
        </w:rPr>
      </w:pPr>
      <w:r>
        <w:rPr>
          <w:rFonts w:ascii="Cambria" w:hAnsi="Cambria" w:cs="Arial"/>
          <w:sz w:val="24"/>
          <w:szCs w:val="24"/>
        </w:rPr>
        <w:t>H</w:t>
      </w:r>
      <w:r w:rsidRPr="003F239D">
        <w:rPr>
          <w:rFonts w:ascii="Cambria" w:hAnsi="Cambria" w:cs="Arial"/>
          <w:sz w:val="24"/>
          <w:szCs w:val="24"/>
        </w:rPr>
        <w:t>uman rights movement become possible only when state societies began to reach consensus that the norms of ‘civil incapacity’ must not be used to delimit various classes of adults. ‘Gaining Control’ or ‘self-determination’ has a universal appeal as the needs of persons with disability and the potential for meeting them has been conditioned by a dependency born of powerlessness, degradation and institutionalisation. The approbation that the CRPD received may indicate such consensus in the realm of disability rights movement wherein the presumption of ‘legal capacity’ is extended to persons with disability like it is for the adults of other disadvantaged groups. Possibly, this would also initiate a new lexicon which recognises legal capacity universally and makes it illegal and unjust to trample on anyone’s legal capacity without her/his consent.</w:t>
      </w:r>
    </w:p>
    <w:p w:rsidR="00831D1F" w:rsidRPr="003F239D" w:rsidRDefault="00831D1F" w:rsidP="003F239D">
      <w:pPr>
        <w:autoSpaceDE w:val="0"/>
        <w:autoSpaceDN w:val="0"/>
        <w:adjustRightInd w:val="0"/>
        <w:spacing w:after="0" w:line="240" w:lineRule="auto"/>
        <w:ind w:firstLine="360"/>
        <w:jc w:val="both"/>
        <w:rPr>
          <w:rFonts w:ascii="Cambria" w:hAnsi="Cambria" w:cs="Arial"/>
          <w:sz w:val="24"/>
          <w:szCs w:val="24"/>
        </w:rPr>
      </w:pPr>
    </w:p>
    <w:p w:rsidR="00831D1F" w:rsidRPr="003F239D" w:rsidRDefault="00831D1F" w:rsidP="003F239D">
      <w:pPr>
        <w:spacing w:after="0" w:line="240" w:lineRule="auto"/>
        <w:ind w:firstLine="360"/>
        <w:jc w:val="both"/>
        <w:rPr>
          <w:rFonts w:ascii="Cambria" w:hAnsi="Cambria" w:cs="Arial"/>
          <w:color w:val="000000"/>
          <w:sz w:val="24"/>
          <w:szCs w:val="24"/>
        </w:rPr>
      </w:pPr>
      <w:r w:rsidRPr="003F239D">
        <w:rPr>
          <w:rFonts w:ascii="Cambria" w:hAnsi="Cambria" w:cs="Arial"/>
          <w:color w:val="000000"/>
          <w:sz w:val="24"/>
          <w:szCs w:val="24"/>
        </w:rPr>
        <w:t>Strengthening relation with citizens is a sound investment in better policy making and core element of good governance. It allows the government to tap new sources of policy relevant ideas, information and resource when making decisions. Equally important it contributes to building public trust in government, raising the quality of democracy and strengthens civic capacity. Such efforts help strengthen representative democracy, transparency and accountability in which parliament plays a central role.</w:t>
      </w:r>
    </w:p>
    <w:p w:rsidR="00831D1F" w:rsidRPr="003F239D" w:rsidRDefault="00831D1F" w:rsidP="003F239D">
      <w:pPr>
        <w:spacing w:after="0" w:line="240" w:lineRule="auto"/>
        <w:jc w:val="both"/>
        <w:rPr>
          <w:rFonts w:ascii="Cambria" w:hAnsi="Cambria" w:cs="Calibri"/>
          <w:sz w:val="24"/>
          <w:szCs w:val="24"/>
        </w:rPr>
      </w:pPr>
      <w:r w:rsidRPr="003F239D">
        <w:rPr>
          <w:rFonts w:ascii="Cambria" w:hAnsi="Cambria" w:cs="Arial"/>
          <w:color w:val="000000"/>
          <w:sz w:val="24"/>
          <w:szCs w:val="24"/>
        </w:rPr>
        <w:br/>
      </w:r>
    </w:p>
    <w:sectPr w:rsidR="00831D1F" w:rsidRPr="003F239D" w:rsidSect="00C66FC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D1F" w:rsidRDefault="00831D1F" w:rsidP="0038205B">
      <w:pPr>
        <w:spacing w:after="0" w:line="240" w:lineRule="auto"/>
      </w:pPr>
      <w:r>
        <w:separator/>
      </w:r>
    </w:p>
  </w:endnote>
  <w:endnote w:type="continuationSeparator" w:id="0">
    <w:p w:rsidR="00831D1F" w:rsidRDefault="00831D1F" w:rsidP="00382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D1F" w:rsidRDefault="00831D1F" w:rsidP="0038205B">
      <w:pPr>
        <w:spacing w:after="0" w:line="240" w:lineRule="auto"/>
      </w:pPr>
      <w:r>
        <w:separator/>
      </w:r>
    </w:p>
  </w:footnote>
  <w:footnote w:type="continuationSeparator" w:id="0">
    <w:p w:rsidR="00831D1F" w:rsidRDefault="00831D1F" w:rsidP="003820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3239"/>
    <w:multiLevelType w:val="hybridMultilevel"/>
    <w:tmpl w:val="FEB4C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B46807"/>
    <w:multiLevelType w:val="hybridMultilevel"/>
    <w:tmpl w:val="34CCF3AE"/>
    <w:lvl w:ilvl="0" w:tplc="C1DA43C4">
      <w:numFmt w:val="bullet"/>
      <w:lvlText w:val="-"/>
      <w:lvlJc w:val="left"/>
      <w:pPr>
        <w:ind w:left="720" w:hanging="360"/>
      </w:pPr>
      <w:rPr>
        <w:rFonts w:ascii="Calibri" w:eastAsia="Wingdings-Regular" w:hAnsi="Calibri"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70F731B"/>
    <w:multiLevelType w:val="multilevel"/>
    <w:tmpl w:val="EEAE07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4EA004B"/>
    <w:multiLevelType w:val="multilevel"/>
    <w:tmpl w:val="EEAE07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E2E0D4B"/>
    <w:multiLevelType w:val="hybridMultilevel"/>
    <w:tmpl w:val="51246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211F61"/>
    <w:multiLevelType w:val="hybridMultilevel"/>
    <w:tmpl w:val="13CA861A"/>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
    <w:nsid w:val="41AF28E0"/>
    <w:multiLevelType w:val="hybridMultilevel"/>
    <w:tmpl w:val="FF806AA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DF2389"/>
    <w:multiLevelType w:val="hybridMultilevel"/>
    <w:tmpl w:val="F7E6D8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ABE4835"/>
    <w:multiLevelType w:val="multilevel"/>
    <w:tmpl w:val="1304F9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E486A29"/>
    <w:multiLevelType w:val="hybridMultilevel"/>
    <w:tmpl w:val="CBB205B0"/>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9"/>
  </w:num>
  <w:num w:numId="6">
    <w:abstractNumId w:val="6"/>
  </w:num>
  <w:num w:numId="7">
    <w:abstractNumId w:val="4"/>
  </w:num>
  <w:num w:numId="8">
    <w:abstractNumId w:val="2"/>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A15"/>
    <w:rsid w:val="00105907"/>
    <w:rsid w:val="0020477F"/>
    <w:rsid w:val="0026454A"/>
    <w:rsid w:val="002C4320"/>
    <w:rsid w:val="002D0AE8"/>
    <w:rsid w:val="00346CDA"/>
    <w:rsid w:val="0038205B"/>
    <w:rsid w:val="003F239D"/>
    <w:rsid w:val="0047507F"/>
    <w:rsid w:val="005223A1"/>
    <w:rsid w:val="005E1D17"/>
    <w:rsid w:val="00697012"/>
    <w:rsid w:val="007A2637"/>
    <w:rsid w:val="007F2F77"/>
    <w:rsid w:val="00831D1F"/>
    <w:rsid w:val="00835D2C"/>
    <w:rsid w:val="009016B2"/>
    <w:rsid w:val="00972FBB"/>
    <w:rsid w:val="00994962"/>
    <w:rsid w:val="00B84A15"/>
    <w:rsid w:val="00BA0992"/>
    <w:rsid w:val="00C66FC3"/>
    <w:rsid w:val="00C75A1F"/>
    <w:rsid w:val="00CB7DF3"/>
    <w:rsid w:val="00DF59BD"/>
    <w:rsid w:val="00E02D40"/>
    <w:rsid w:val="00E54449"/>
    <w:rsid w:val="00E71DB9"/>
    <w:rsid w:val="00EA55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FC3"/>
    <w:pPr>
      <w:spacing w:after="200" w:line="276" w:lineRule="auto"/>
    </w:pPr>
    <w:rPr>
      <w:lang w:val="en-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84A1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99"/>
    <w:qFormat/>
    <w:rsid w:val="002C4320"/>
    <w:pPr>
      <w:ind w:left="720"/>
      <w:contextualSpacing/>
    </w:pPr>
  </w:style>
  <w:style w:type="paragraph" w:styleId="FootnoteText">
    <w:name w:val="footnote text"/>
    <w:basedOn w:val="Normal"/>
    <w:link w:val="FootnoteTextChar"/>
    <w:uiPriority w:val="99"/>
    <w:semiHidden/>
    <w:rsid w:val="0038205B"/>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locked/>
    <w:rsid w:val="0038205B"/>
    <w:rPr>
      <w:rFonts w:ascii="Times New Roman" w:hAnsi="Times New Roman" w:cs="Times New Roman"/>
      <w:sz w:val="20"/>
      <w:szCs w:val="20"/>
      <w:lang w:val="en-GB"/>
    </w:rPr>
  </w:style>
  <w:style w:type="character" w:styleId="FootnoteReference">
    <w:name w:val="footnote reference"/>
    <w:basedOn w:val="DefaultParagraphFont"/>
    <w:uiPriority w:val="99"/>
    <w:semiHidden/>
    <w:rsid w:val="0038205B"/>
    <w:rPr>
      <w:rFonts w:cs="Times New Roman"/>
      <w:vertAlign w:val="superscript"/>
    </w:rPr>
  </w:style>
  <w:style w:type="character" w:styleId="Hyperlink">
    <w:name w:val="Hyperlink"/>
    <w:basedOn w:val="DefaultParagraphFont"/>
    <w:uiPriority w:val="99"/>
    <w:rsid w:val="0038205B"/>
    <w:rPr>
      <w:rFonts w:cs="Times New Roman"/>
      <w:color w:val="0000FF"/>
      <w:u w:val="single"/>
    </w:rPr>
  </w:style>
  <w:style w:type="character" w:customStyle="1" w:styleId="sup">
    <w:name w:val="sup"/>
    <w:basedOn w:val="DefaultParagraphFont"/>
    <w:uiPriority w:val="99"/>
    <w:rsid w:val="00697012"/>
    <w:rPr>
      <w:rFonts w:cs="Times New Roman"/>
    </w:rPr>
  </w:style>
  <w:style w:type="character" w:customStyle="1" w:styleId="googqs-tidbit">
    <w:name w:val="goog_qs-tidbit"/>
    <w:basedOn w:val="DefaultParagraphFont"/>
    <w:uiPriority w:val="99"/>
    <w:rsid w:val="00697012"/>
    <w:rPr>
      <w:rFonts w:cs="Times New Roman"/>
    </w:rPr>
  </w:style>
</w:styles>
</file>

<file path=word/webSettings.xml><?xml version="1.0" encoding="utf-8"?>
<w:webSettings xmlns:r="http://schemas.openxmlformats.org/officeDocument/2006/relationships" xmlns:w="http://schemas.openxmlformats.org/wordprocessingml/2006/main">
  <w:divs>
    <w:div w:id="13313078">
      <w:marLeft w:val="360"/>
      <w:marRight w:val="360"/>
      <w:marTop w:val="360"/>
      <w:marBottom w:val="360"/>
      <w:divBdr>
        <w:top w:val="none" w:sz="0" w:space="0" w:color="auto"/>
        <w:left w:val="none" w:sz="0" w:space="0" w:color="auto"/>
        <w:bottom w:val="none" w:sz="0" w:space="0" w:color="auto"/>
        <w:right w:val="none" w:sz="0" w:space="0" w:color="auto"/>
      </w:divBdr>
    </w:div>
    <w:div w:id="13313079">
      <w:marLeft w:val="168"/>
      <w:marRight w:val="168"/>
      <w:marTop w:val="0"/>
      <w:marBottom w:val="0"/>
      <w:divBdr>
        <w:top w:val="none" w:sz="0" w:space="0" w:color="auto"/>
        <w:left w:val="none" w:sz="0" w:space="0" w:color="auto"/>
        <w:bottom w:val="none" w:sz="0" w:space="0" w:color="auto"/>
        <w:right w:val="none" w:sz="0" w:space="0" w:color="auto"/>
      </w:divBdr>
      <w:divsChild>
        <w:div w:id="13313080">
          <w:marLeft w:val="0"/>
          <w:marRight w:val="0"/>
          <w:marTop w:val="0"/>
          <w:marBottom w:val="0"/>
          <w:divBdr>
            <w:top w:val="none" w:sz="0" w:space="0" w:color="auto"/>
            <w:left w:val="single" w:sz="12" w:space="0" w:color="FFFFFF"/>
            <w:bottom w:val="none" w:sz="0" w:space="0" w:color="auto"/>
            <w:right w:val="single" w:sz="12" w:space="0" w:color="FFFFFF"/>
          </w:divBdr>
          <w:divsChild>
            <w:div w:id="13313081">
              <w:marLeft w:val="180"/>
              <w:marRight w:val="180"/>
              <w:marTop w:val="0"/>
              <w:marBottom w:val="0"/>
              <w:divBdr>
                <w:top w:val="none" w:sz="0" w:space="0" w:color="auto"/>
                <w:left w:val="none" w:sz="0" w:space="0" w:color="auto"/>
                <w:bottom w:val="none" w:sz="0" w:space="0" w:color="auto"/>
                <w:right w:val="none" w:sz="0" w:space="0" w:color="auto"/>
              </w:divBdr>
              <w:divsChild>
                <w:div w:id="133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213</TotalTime>
  <Pages>4</Pages>
  <Words>1403</Words>
  <Characters>8000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dc:description/>
  <cp:lastModifiedBy>Hema Raveesh</cp:lastModifiedBy>
  <cp:revision>12</cp:revision>
  <cp:lastPrinted>2011-05-31T07:03:00Z</cp:lastPrinted>
  <dcterms:created xsi:type="dcterms:W3CDTF">2011-05-31T07:02:00Z</dcterms:created>
  <dcterms:modified xsi:type="dcterms:W3CDTF">2011-06-30T15:38:00Z</dcterms:modified>
</cp:coreProperties>
</file>